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52"/>
        </w:rPr>
        <w:t>MIELOGOS</w:t>
      </w:r>
    </w:p>
    <w:p>
      <w:pPr>
        <w:jc w:val="center"/>
      </w:pPr>
      <w:r>
        <w:rPr>
          <w:rFonts w:ascii="Aptos" w:hAnsi="Aptos"/>
          <w:b/>
          <w:sz w:val="26"/>
        </w:rPr>
        <w:t>POLICY AMENDMENT DECISION</w:t>
      </w:r>
    </w:p>
    <w:p>
      <w:pPr>
        <w:jc w:val="center"/>
      </w:pPr>
      <w:r>
        <w:rPr>
          <w:rFonts w:ascii="Aptos" w:hAnsi="Aptos"/>
          <w:b/>
          <w:sz w:val="36"/>
        </w:rPr>
        <w:t>MIELOGOS-PD-002</w:t>
      </w:r>
    </w:p>
    <w:p>
      <w:pPr>
        <w:jc w:val="center"/>
      </w:pPr>
      <w:r>
        <w:rPr>
          <w:rFonts w:ascii="Aptos" w:hAnsi="Aptos"/>
          <w:sz w:val="22"/>
        </w:rPr>
        <w:t>Public Identity Link Verification and Anti-Impersonation Safeguard</w:t>
      </w:r>
    </w:p>
    <w:p>
      <w:pPr>
        <w:jc w:val="center"/>
      </w:pPr>
      <w:r>
        <w:rPr>
          <w:rFonts w:ascii="Aptos" w:hAnsi="Aptos"/>
          <w:color w:val="5A5A5A"/>
          <w:sz w:val="20"/>
        </w:rPr>
        <w:t>Adopted and effective: 2 October 2026</w:t>
      </w:r>
    </w:p>
    <w:p>
      <w:pPr>
        <w:pStyle w:val="Heading1"/>
      </w:pPr>
      <w:r>
        <w:t>Authority</w:t>
      </w:r>
    </w:p>
    <w:p>
      <w:r>
        <w:t>This Policy Decision is adopted by Navi Musaget, Founder, during the Genesis Stage under Articles IV and VIII of MIELOGOS Constitution and Bylaws v0.2 and Section 40 of MIELOGOS Membership Charter v0.1.1.</w:t>
      </w:r>
    </w:p>
    <w:p>
      <w:pPr>
        <w:pStyle w:val="Heading1"/>
      </w:pPr>
      <w:r>
        <w:t>Purpose</w:t>
      </w:r>
    </w:p>
    <w:p>
      <w:r>
        <w:t>This amendment addresses a specific anti-impersonation risk: a third party could otherwise use an author’s public name and published trace to seek membership without the author’s authorization. Mielogos therefore verifies the link between an applicant and the public identity being claimed, while continuing to avoid routine collection of civil-identity documents or unrelated private data.</w:t>
      </w:r>
    </w:p>
    <w:p>
      <w:pPr>
        <w:pStyle w:val="Heading1"/>
      </w:pPr>
      <w:r>
        <w:t>Amendment Scope</w:t>
      </w:r>
    </w:p>
    <w:tbl>
      <w:tblPr>
        <w:tblW w:type="auto" w:w="0"/>
        <w:jc w:val="center"/>
        <w:tblLook w:firstColumn="1" w:firstRow="1" w:lastColumn="0" w:lastRow="0" w:noHBand="0" w:noVBand="1" w:val="04A0"/>
      </w:tblPr>
      <w:tblGrid>
        <w:gridCol w:w="3264"/>
        <w:gridCol w:w="3264"/>
        <w:gridCol w:w="3264"/>
      </w:tblGrid>
      <w:tr>
        <w:trPr>
          <w:tblHeader w:val="true"/>
          <w:tblHeader w:val="true"/>
          <w:cantSplit/>
        </w:trPr>
        <w:tc>
          <w:tcPr>
            <w:tcW w:type="dxa" w:w="3264"/>
            <w:shd w:fill="1F2937"/>
            <w:tcMar>
              <w:top w:w="100" w:type="dxa"/>
              <w:start w:w="100" w:type="dxa"/>
              <w:bottom w:w="100" w:type="dxa"/>
              <w:end w:w="100" w:type="dxa"/>
            </w:tcMar>
          </w:tcPr>
          <w:p>
            <w:r>
              <w:rPr>
                <w:sz w:val="20"/>
              </w:rPr>
              <w:t>Provision</w:t>
            </w:r>
          </w:p>
        </w:tc>
        <w:tc>
          <w:tcPr>
            <w:tcW w:type="dxa" w:w="3264"/>
            <w:shd w:fill="1F2937"/>
            <w:tcMar>
              <w:top w:w="100" w:type="dxa"/>
              <w:start w:w="100" w:type="dxa"/>
              <w:bottom w:w="100" w:type="dxa"/>
              <w:end w:w="100" w:type="dxa"/>
            </w:tcMar>
          </w:tcPr>
          <w:p>
            <w:r>
              <w:rPr>
                <w:sz w:val="20"/>
              </w:rPr>
              <w:t>Effect of PD-002</w:t>
            </w:r>
          </w:p>
        </w:tc>
        <w:tc>
          <w:tcPr>
            <w:tcW w:type="dxa" w:w="3264"/>
            <w:shd w:fill="1F2937"/>
            <w:tcMar>
              <w:top w:w="100" w:type="dxa"/>
              <w:start w:w="100" w:type="dxa"/>
              <w:bottom w:w="100" w:type="dxa"/>
              <w:end w:w="100" w:type="dxa"/>
            </w:tcMar>
          </w:tcPr>
          <w:p>
            <w:r>
              <w:rPr>
                <w:sz w:val="20"/>
              </w:rPr>
              <w:t>Status</w:t>
            </w:r>
          </w:p>
        </w:tc>
      </w:tr>
      <w:tr>
        <w:trPr>
          <w:cantSplit/>
        </w:trPr>
        <w:tc>
          <w:tcPr>
            <w:tcW w:type="dxa" w:w="3264"/>
          </w:tcPr>
          <w:p>
            <w:r>
              <w:rPr>
                <w:sz w:val="19"/>
              </w:rPr>
              <w:t>Membership Charter §11</w:t>
            </w:r>
          </w:p>
        </w:tc>
        <w:tc>
          <w:tcPr>
            <w:tcW w:type="dxa" w:w="3264"/>
          </w:tcPr>
          <w:p>
            <w:r>
              <w:rPr>
                <w:sz w:val="19"/>
              </w:rPr>
              <w:t>Clarifies that ordinary admission verifies the link to a claimed public identity rather than civil identity.</w:t>
            </w:r>
          </w:p>
        </w:tc>
        <w:tc>
          <w:tcPr>
            <w:tcW w:type="dxa" w:w="3264"/>
          </w:tcPr>
          <w:p>
            <w:r>
              <w:rPr>
                <w:sz w:val="19"/>
              </w:rPr>
              <w:t>ADOPTED</w:t>
            </w:r>
          </w:p>
        </w:tc>
      </w:tr>
      <w:tr>
        <w:trPr>
          <w:cantSplit/>
        </w:trPr>
        <w:tc>
          <w:tcPr>
            <w:tcW w:type="dxa" w:w="3264"/>
          </w:tcPr>
          <w:p>
            <w:r>
              <w:rPr>
                <w:sz w:val="19"/>
              </w:rPr>
              <w:t>New Membership Charter §12</w:t>
            </w:r>
          </w:p>
        </w:tc>
        <w:tc>
          <w:tcPr>
            <w:tcW w:type="dxa" w:w="3264"/>
          </w:tcPr>
          <w:p>
            <w:r>
              <w:rPr>
                <w:sz w:val="19"/>
              </w:rPr>
              <w:t>Creates public-identity link verification with proportionate methods, anti-impersonation purpose, re-verification, and data minimization.</w:t>
            </w:r>
          </w:p>
        </w:tc>
        <w:tc>
          <w:tcPr>
            <w:tcW w:type="dxa" w:w="3264"/>
          </w:tcPr>
          <w:p>
            <w:r>
              <w:rPr>
                <w:sz w:val="19"/>
              </w:rPr>
              <w:t>ADOPTED</w:t>
            </w:r>
          </w:p>
        </w:tc>
      </w:tr>
      <w:tr>
        <w:trPr>
          <w:cantSplit/>
        </w:trPr>
        <w:tc>
          <w:tcPr>
            <w:tcW w:type="dxa" w:w="3264"/>
          </w:tcPr>
          <w:p>
            <w:r>
              <w:rPr>
                <w:sz w:val="19"/>
              </w:rPr>
              <w:t>Membership Charter §§13–15</w:t>
            </w:r>
          </w:p>
        </w:tc>
        <w:tc>
          <w:tcPr>
            <w:tcW w:type="dxa" w:w="3264"/>
          </w:tcPr>
          <w:p>
            <w:r>
              <w:rPr>
                <w:sz w:val="19"/>
              </w:rPr>
              <w:t>Adds public-reference and verification-method fields, verification-pending outcomes, and verification as a condition of activation.</w:t>
            </w:r>
          </w:p>
        </w:tc>
        <w:tc>
          <w:tcPr>
            <w:tcW w:type="dxa" w:w="3264"/>
          </w:tcPr>
          <w:p>
            <w:r>
              <w:rPr>
                <w:sz w:val="19"/>
              </w:rPr>
              <w:t>ADOPTED</w:t>
            </w:r>
          </w:p>
        </w:tc>
      </w:tr>
      <w:tr>
        <w:trPr>
          <w:cantSplit/>
        </w:trPr>
        <w:tc>
          <w:tcPr>
            <w:tcW w:type="dxa" w:w="3264"/>
          </w:tcPr>
          <w:p>
            <w:r>
              <w:rPr>
                <w:sz w:val="19"/>
              </w:rPr>
              <w:t>Membership Charter §§23, 39 and v0.2 status</w:t>
            </w:r>
          </w:p>
        </w:tc>
        <w:tc>
          <w:tcPr>
            <w:tcW w:type="dxa" w:w="3264"/>
          </w:tcPr>
          <w:p>
            <w:r>
              <w:rPr>
                <w:sz w:val="19"/>
              </w:rPr>
              <w:t>Links public directory entries to verified identities, minimizes retained verification data, and records v0.2 as the current ACTIVE text.</w:t>
            </w:r>
          </w:p>
        </w:tc>
        <w:tc>
          <w:tcPr>
            <w:tcW w:type="dxa" w:w="3264"/>
          </w:tcPr>
          <w:p>
            <w:r>
              <w:rPr>
                <w:sz w:val="19"/>
              </w:rPr>
              <w:t>ACTIVE</w:t>
            </w:r>
          </w:p>
        </w:tc>
      </w:tr>
    </w:tbl>
    <w:p>
      <w:pPr>
        <w:pStyle w:val="Heading1"/>
      </w:pPr>
      <w:r>
        <w:t>Verification Principle</w:t>
      </w:r>
    </w:p>
    <w:p>
      <w:pPr/>
      <w:r>
        <w:t>Mielogos verifies control or authorization of the claimed public identity, not a member’s civil identity. Public creative or professional references may establish the public trace; a separate established channel may establish control. A newly created unlinked endpoint is not sufficient by itself when an established identity is being claimed.</w:t>
      </w:r>
    </w:p>
    <w:p>
      <w:pPr>
        <w:pStyle w:val="Heading1"/>
      </w:pPr>
      <w:r>
        <w:t>Data-Minimization Principle</w:t>
      </w:r>
    </w:p>
    <w:p>
      <w:pPr/>
      <w:r>
        <w:t>Ordinary verification should not require passports, government IDs, home addresses, dates of birth, telephone numbers, or disclosure of civil names. Completed one-time tokens and unnecessary evidence should not be retained after their purpose ends, except for an active dispute or specific legal obligation.</w:t>
      </w:r>
    </w:p>
    <w:p>
      <w:pPr>
        <w:pStyle w:val="Heading1"/>
      </w:pPr>
      <w:r>
        <w:t>Continuity</w:t>
      </w:r>
    </w:p>
    <w:p>
      <w:r>
        <w:t>MIELOGOS-AR-002 remains the valid record of the original adoption of Membership Charter v0.1. MIELOGOS-PD-001 remains the record of the conforming transition to v0.1.1. PD-002 records the substantive amendment to Membership Charter v0.2. Version 0.1.1 is superseded as the current membership instrument and remains part of the historical record.</w:t>
      </w:r>
    </w:p>
    <w:p>
      <w:pPr>
        <w:pStyle w:val="Heading1"/>
      </w:pPr>
      <w:r>
        <w:t>Decision</w:t>
      </w:r>
    </w:p>
    <w:p>
      <w:r>
        <w:t>ADOPTED.  MIELOGOS Membership Charter v0.2 is ACTIVE effective 2 October 2026. No amendment to the Constitution, Institutional Definition, Founding Principles, or Code of Conduct is required by this decision.</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 xml:space="preserve">ADOPTED  ·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color w:val="5A5A5A"/>
        <w:sz w:val="16"/>
      </w:rPr>
      <w:t>MIELOGOS  ·  POLICY DECISION  ·  PD-002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