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ptos Display" w:hAnsi="Aptos Display"/>
          <w:b/>
          <w:sz w:val="52"/>
        </w:rPr>
        <w:t>MIELOGOS</w:t>
      </w:r>
    </w:p>
    <w:p>
      <w:pPr>
        <w:jc w:val="center"/>
      </w:pPr>
      <w:r>
        <w:rPr>
          <w:rFonts w:ascii="Aptos" w:hAnsi="Aptos"/>
          <w:b/>
          <w:sz w:val="26"/>
        </w:rPr>
        <w:t>CONFORMING POLICY AMENDMENT DECISION</w:t>
      </w:r>
    </w:p>
    <w:p>
      <w:pPr>
        <w:jc w:val="center"/>
      </w:pPr>
      <w:r>
        <w:rPr>
          <w:rFonts w:ascii="Aptos" w:hAnsi="Aptos"/>
          <w:b/>
          <w:sz w:val="36"/>
        </w:rPr>
        <w:t>MIELOGOS-PD-001</w:t>
      </w:r>
    </w:p>
    <w:p>
      <w:pPr>
        <w:jc w:val="center"/>
      </w:pPr>
      <w:r>
        <w:rPr>
          <w:rFonts w:ascii="Aptos" w:hAnsi="Aptos"/>
          <w:sz w:val="22"/>
        </w:rPr>
        <w:t>Conforming Revisions Following Constitutional Amendment CA-001</w:t>
      </w:r>
    </w:p>
    <w:p>
      <w:pPr>
        <w:jc w:val="center"/>
      </w:pPr>
      <w:r>
        <w:rPr>
          <w:rFonts w:ascii="Aptos" w:hAnsi="Aptos"/>
          <w:color w:val="5A5A5A"/>
          <w:sz w:val="20"/>
        </w:rPr>
        <w:t>Adopted and effective: 2 October 2026</w:t>
      </w:r>
    </w:p>
    <w:p>
      <w:pPr>
        <w:pStyle w:val="Heading1"/>
      </w:pPr>
      <w:r>
        <w:t>Authority</w:t>
      </w:r>
    </w:p>
    <w:p>
      <w:r>
        <w:t>This Policy Decision is adopted by Navi Musaget, Founder, during the Genesis Stage under Articles VIII and XVI of MIELOGOS Constitution and Bylaws v0.2. It implements non-substantive conforming revisions required by MIELOGOS-CA-001.</w:t>
      </w:r>
    </w:p>
    <w:p>
      <w:pPr>
        <w:pStyle w:val="Heading1"/>
      </w:pPr>
      <w:r>
        <w:t>Purpose</w:t>
      </w:r>
    </w:p>
    <w:p>
      <w:r>
        <w:t>CA-001 clarifies that The Mielogos Prize is institutionally distinct from the International Association for Symbiotic Authorship and establishes Constitution v0.2. Previously adopted Association instruments are conformed to the new constitutional architecture and current constitutional reference without changing their underlying classification, membership, conduct, or foundational rights and responsibilities.</w:t>
      </w:r>
    </w:p>
    <w:p>
      <w:pPr>
        <w:pStyle w:val="Heading1"/>
      </w:pPr>
      <w:r>
        <w:t>Conforming Revisions</w:t>
      </w:r>
    </w:p>
    <w:tbl>
      <w:tblPr>
        <w:tblW w:type="auto" w:w="0"/>
        <w:jc w:val="center"/>
        <w:tblLook w:firstColumn="1" w:firstRow="1" w:lastColumn="0" w:lastRow="0" w:noHBand="0" w:noVBand="1" w:val="04A0"/>
      </w:tblPr>
      <w:tblGrid>
        <w:gridCol w:w="3264"/>
        <w:gridCol w:w="3264"/>
        <w:gridCol w:w="3264"/>
      </w:tblGrid>
      <w:tr>
        <w:trPr>
          <w:tblHeader w:val="true"/>
        </w:trPr>
        <w:tc>
          <w:tcPr>
            <w:tcW w:type="dxa" w:w="3264"/>
            <w:shd w:fill="1F2937"/>
            <w:tcMar>
              <w:top w:w="100" w:type="dxa"/>
              <w:start w:w="100" w:type="dxa"/>
              <w:bottom w:w="100" w:type="dxa"/>
              <w:end w:w="100" w:type="dxa"/>
            </w:tcMar>
          </w:tcPr>
          <w:p>
            <w:r>
              <w:rPr>
                <w:rFonts w:ascii="Aptos" w:hAnsi="Aptos"/>
                <w:b/>
                <w:color w:val="FFFFFF"/>
                <w:sz w:val="19"/>
              </w:rPr>
              <w:t>Instrument</w:t>
            </w:r>
          </w:p>
        </w:tc>
        <w:tc>
          <w:tcPr>
            <w:tcW w:type="dxa" w:w="3264"/>
            <w:shd w:fill="1F2937"/>
            <w:tcMar>
              <w:top w:w="100" w:type="dxa"/>
              <w:start w:w="100" w:type="dxa"/>
              <w:bottom w:w="100" w:type="dxa"/>
              <w:end w:w="100" w:type="dxa"/>
            </w:tcMar>
          </w:tcPr>
          <w:p>
            <w:r>
              <w:rPr>
                <w:rFonts w:ascii="Aptos" w:hAnsi="Aptos"/>
                <w:b/>
                <w:color w:val="FFFFFF"/>
                <w:sz w:val="19"/>
              </w:rPr>
              <w:t>New Version</w:t>
            </w:r>
          </w:p>
        </w:tc>
        <w:tc>
          <w:tcPr>
            <w:tcW w:type="dxa" w:w="3264"/>
            <w:shd w:fill="1F2937"/>
            <w:tcMar>
              <w:top w:w="100" w:type="dxa"/>
              <w:start w:w="100" w:type="dxa"/>
              <w:bottom w:w="100" w:type="dxa"/>
              <w:end w:w="100" w:type="dxa"/>
            </w:tcMar>
          </w:tcPr>
          <w:p>
            <w:r>
              <w:rPr>
                <w:rFonts w:ascii="Aptos" w:hAnsi="Aptos"/>
                <w:b/>
                <w:color w:val="FFFFFF"/>
                <w:sz w:val="19"/>
              </w:rPr>
              <w:t>Conforming Effect</w:t>
            </w:r>
          </w:p>
        </w:tc>
      </w:tr>
      <w:tr>
        <w:tc>
          <w:tcPr>
            <w:tcW w:type="dxa" w:w="3264"/>
            <w:tcMar>
              <w:top w:w="100" w:type="dxa"/>
              <w:start w:w="100" w:type="dxa"/>
              <w:bottom w:w="100" w:type="dxa"/>
              <w:end w:w="100" w:type="dxa"/>
            </w:tcMar>
          </w:tcPr>
          <w:p>
            <w:r>
              <w:rPr>
                <w:rFonts w:ascii="Aptos" w:hAnsi="Aptos"/>
                <w:sz w:val="18"/>
              </w:rPr>
              <w:t>Membership Charter</w:t>
            </w:r>
          </w:p>
        </w:tc>
        <w:tc>
          <w:tcPr>
            <w:tcW w:type="dxa" w:w="3264"/>
            <w:tcMar>
              <w:top w:w="100" w:type="dxa"/>
              <w:start w:w="100" w:type="dxa"/>
              <w:bottom w:w="100" w:type="dxa"/>
              <w:end w:w="100" w:type="dxa"/>
            </w:tcMar>
          </w:tcPr>
          <w:p>
            <w:r>
              <w:rPr>
                <w:rFonts w:ascii="Aptos" w:hAnsi="Aptos"/>
                <w:sz w:val="18"/>
              </w:rPr>
              <w:t>v0.1.1 — ACTIVE</w:t>
            </w:r>
          </w:p>
        </w:tc>
        <w:tc>
          <w:tcPr>
            <w:tcW w:type="dxa" w:w="3264"/>
            <w:tcMar>
              <w:top w:w="100" w:type="dxa"/>
              <w:start w:w="100" w:type="dxa"/>
              <w:bottom w:w="100" w:type="dxa"/>
              <w:end w:w="100" w:type="dxa"/>
            </w:tcMar>
          </w:tcPr>
          <w:p>
            <w:r>
              <w:rPr>
                <w:rFonts w:ascii="Aptos" w:hAnsi="Aptos"/>
                <w:sz w:val="18"/>
              </w:rPr>
              <w:t>Updates constitutional reference to v0.2; removes language implying Association authority over Prize access or results; preserves membership/Prize separation.</w:t>
            </w:r>
          </w:p>
        </w:tc>
      </w:tr>
      <w:tr>
        <w:tc>
          <w:tcPr>
            <w:tcW w:type="dxa" w:w="3264"/>
            <w:tcMar>
              <w:top w:w="100" w:type="dxa"/>
              <w:start w:w="100" w:type="dxa"/>
              <w:bottom w:w="100" w:type="dxa"/>
              <w:end w:w="100" w:type="dxa"/>
            </w:tcMar>
          </w:tcPr>
          <w:p>
            <w:r>
              <w:rPr>
                <w:rFonts w:ascii="Aptos" w:hAnsi="Aptos"/>
                <w:sz w:val="18"/>
              </w:rPr>
              <w:t>Founding Principles</w:t>
            </w:r>
          </w:p>
        </w:tc>
        <w:tc>
          <w:tcPr>
            <w:tcW w:type="dxa" w:w="3264"/>
            <w:tcMar>
              <w:top w:w="100" w:type="dxa"/>
              <w:start w:w="100" w:type="dxa"/>
              <w:bottom w:w="100" w:type="dxa"/>
              <w:end w:w="100" w:type="dxa"/>
            </w:tcMar>
          </w:tcPr>
          <w:p>
            <w:r>
              <w:rPr>
                <w:rFonts w:ascii="Aptos" w:hAnsi="Aptos"/>
                <w:sz w:val="18"/>
              </w:rPr>
              <w:t>v0.1.1 — ACTIVE</w:t>
            </w:r>
          </w:p>
        </w:tc>
        <w:tc>
          <w:tcPr>
            <w:tcW w:type="dxa" w:w="3264"/>
            <w:tcMar>
              <w:top w:w="100" w:type="dxa"/>
              <w:start w:w="100" w:type="dxa"/>
              <w:bottom w:w="100" w:type="dxa"/>
              <w:end w:w="100" w:type="dxa"/>
            </w:tcMar>
          </w:tcPr>
          <w:p>
            <w:r>
              <w:rPr>
                <w:rFonts w:ascii="Aptos" w:hAnsi="Aptos"/>
                <w:sz w:val="18"/>
              </w:rPr>
              <w:t>Updates constitutional reference to v0.2 and removes Prize Charter from the list of Association governing instruments.</w:t>
            </w:r>
          </w:p>
        </w:tc>
      </w:tr>
      <w:tr>
        <w:tc>
          <w:tcPr>
            <w:tcW w:type="dxa" w:w="3264"/>
            <w:tcMar>
              <w:top w:w="100" w:type="dxa"/>
              <w:start w:w="100" w:type="dxa"/>
              <w:bottom w:w="100" w:type="dxa"/>
              <w:end w:w="100" w:type="dxa"/>
            </w:tcMar>
          </w:tcPr>
          <w:p>
            <w:r>
              <w:rPr>
                <w:rFonts w:ascii="Aptos" w:hAnsi="Aptos"/>
                <w:sz w:val="18"/>
              </w:rPr>
              <w:t>Code of Conduct</w:t>
            </w:r>
          </w:p>
        </w:tc>
        <w:tc>
          <w:tcPr>
            <w:tcW w:type="dxa" w:w="3264"/>
            <w:tcMar>
              <w:top w:w="100" w:type="dxa"/>
              <w:start w:w="100" w:type="dxa"/>
              <w:bottom w:w="100" w:type="dxa"/>
              <w:end w:w="100" w:type="dxa"/>
            </w:tcMar>
          </w:tcPr>
          <w:p>
            <w:r>
              <w:rPr>
                <w:rFonts w:ascii="Aptos" w:hAnsi="Aptos"/>
                <w:sz w:val="18"/>
              </w:rPr>
              <w:t>v0.1.1 — ACTIVE</w:t>
            </w:r>
          </w:p>
        </w:tc>
        <w:tc>
          <w:tcPr>
            <w:tcW w:type="dxa" w:w="3264"/>
            <w:tcMar>
              <w:top w:w="100" w:type="dxa"/>
              <w:start w:w="100" w:type="dxa"/>
              <w:bottom w:w="100" w:type="dxa"/>
              <w:end w:w="100" w:type="dxa"/>
            </w:tcMar>
          </w:tcPr>
          <w:p>
            <w:r>
              <w:rPr>
                <w:rFonts w:ascii="Aptos" w:hAnsi="Aptos"/>
                <w:sz w:val="18"/>
              </w:rPr>
              <w:t>Updates constitutional reference to v0.2 and removes Prize-record examples that could imply Association governance of Prize records.</w:t>
            </w:r>
          </w:p>
        </w:tc>
      </w:tr>
      <w:tr>
        <w:tc>
          <w:tcPr>
            <w:tcW w:type="dxa" w:w="3264"/>
          </w:tcPr>
          <w:p>
            <w:r>
              <w:t>Institutional Definition</w:t>
            </w:r>
          </w:p>
        </w:tc>
        <w:tc>
          <w:tcPr>
            <w:tcW w:type="dxa" w:w="3264"/>
          </w:tcPr>
          <w:p>
            <w:r>
              <w:t>v0.1.1 — ACTIVE</w:t>
            </w:r>
          </w:p>
        </w:tc>
        <w:tc>
          <w:tcPr>
            <w:tcW w:type="dxa" w:w="3264"/>
          </w:tcPr>
          <w:p>
            <w:r>
              <w:t>Updates constitutional reference from v0.1 to v0.2; no change to the Symbiotic Authorship definition or operational test.</w:t>
            </w:r>
          </w:p>
        </w:tc>
      </w:tr>
    </w:tbl>
    <w:p>
      <w:pPr>
        <w:pStyle w:val="Heading1"/>
      </w:pPr>
      <w:r>
        <w:t>Continuity</w:t>
      </w:r>
    </w:p>
    <w:p>
      <w:r>
        <w:t>MIELOGOS-AR-002, MIELOGOS-AR-003, MIELOGOS-AR-004, and MIELOGOS-AR-005 remain valid records of the original adoption of the Membership Charter, Institutional Definition, Founding Principles, and Code of Conduct respectively. Their v0.1 texts remain historical records. PD-001 records the conforming transition of those instruments to v0.1.1.</w:t>
      </w:r>
    </w:p>
    <w:p>
      <w:pPr>
        <w:pStyle w:val="Heading1"/>
      </w:pPr>
      <w:r>
        <w:t>Decision</w:t>
      </w:r>
    </w:p>
    <w:p>
      <w:r>
        <w:t>ADOPTED.  The four conforming v0.1.1 instruments identified above are ACTIVE effective 2 October 2026.</w:t>
      </w:r>
    </w:p>
    <w:sectPr w:rsidR="00FC693F" w:rsidRPr="0006063C" w:rsidSect="00034616">
      <w:headerReference w:type="default" r:id="rId9"/>
      <w:footerReference w:type="default" r:id="rId10"/>
      <w:pgSz w:w="12240" w:h="15840"/>
      <w:pgMar w:top="1080"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A5A5A"/>
        <w:sz w:val="16"/>
      </w:rPr>
      <w:t xml:space="preserve">ADOPTED  ·  2 October 2026  ·  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color w:val="5A5A5A"/>
        <w:sz w:val="16"/>
      </w:rPr>
      <w:t>MIELOGOS  ·  POLICY DECISION  ·  PD-001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