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ptos Display" w:hAnsi="Aptos Display"/>
          <w:b/>
          <w:sz w:val="52"/>
        </w:rPr>
        <w:t>MIELOGOS</w:t>
      </w:r>
    </w:p>
    <w:p>
      <w:pPr>
        <w:jc w:val="center"/>
      </w:pPr>
      <w:r>
        <w:rPr>
          <w:rFonts w:ascii="Aptos" w:hAnsi="Aptos"/>
          <w:b/>
          <w:sz w:val="26"/>
        </w:rPr>
        <w:t>CONSTITUTIONAL AMENDMENT</w:t>
      </w:r>
    </w:p>
    <w:p>
      <w:pPr>
        <w:jc w:val="center"/>
      </w:pPr>
      <w:r>
        <w:rPr>
          <w:rFonts w:ascii="Aptos" w:hAnsi="Aptos"/>
          <w:b/>
          <w:sz w:val="36"/>
        </w:rPr>
        <w:t>MIELOGOS-CA-001</w:t>
      </w:r>
    </w:p>
    <w:p>
      <w:pPr>
        <w:jc w:val="center"/>
      </w:pPr>
      <w:r>
        <w:rPr>
          <w:rFonts w:ascii="Aptos" w:hAnsi="Aptos"/>
          <w:b w:val="0"/>
          <w:sz w:val="22"/>
        </w:rPr>
        <w:t>Institutional Separation of the Association and The Mielogos Prize</w:t>
      </w:r>
    </w:p>
    <w:p>
      <w:pPr>
        <w:jc w:val="center"/>
      </w:pPr>
      <w:r>
        <w:rPr>
          <w:rFonts w:ascii="Aptos" w:hAnsi="Aptos"/>
          <w:b w:val="0"/>
          <w:color w:val="5A5A5A"/>
          <w:sz w:val="20"/>
        </w:rPr>
        <w:t>Adopted and effective: 2 October 2026</w:t>
      </w:r>
    </w:p>
    <w:p>
      <w:pPr>
        <w:pStyle w:val="Heading1"/>
      </w:pPr>
      <w:r>
        <w:t>Authority</w:t>
      </w:r>
    </w:p>
    <w:p>
      <w:r>
        <w:t>This Constitutional Amendment is adopted by Navi Musaget, Founder, during the Genesis Stage under Article XVI of the MIELOGOS Constitution and Bylaws v0.1.</w:t>
      </w:r>
    </w:p>
    <w:p>
      <w:r>
        <w:t>The purpose of this amendment is to clarify that the International Association for Symbiotic Authorship and The Mielogos Prize share a historical and intellectual lineage but remain institutionally distinct. The Association recognizes the Prize; it does not constitutionally absorb the Prize as an ordinary programme, department, or membership function.</w:t>
      </w:r>
    </w:p>
    <w:p>
      <w:pPr>
        <w:pStyle w:val="Heading1"/>
      </w:pPr>
      <w:r>
        <w:t>Amendment Decision</w:t>
      </w:r>
    </w:p>
    <w:p>
      <w:r>
        <w:t>Effective immediately, the MIELOGOS Constitution and Bylaws v0.1 is amended as described below. The consolidated constitutional text incorporating these changes is designated MIELOGOS Constitution and Bylaws v0.2 — ACTIVE.</w:t>
      </w:r>
    </w:p>
    <w:tbl>
      <w:tblPr>
        <w:tblW w:type="auto" w:w="0"/>
        <w:jc w:val="center"/>
        <w:tblLayout w:type="fixed"/>
        <w:tblLook w:firstColumn="1" w:firstRow="1" w:lastColumn="0" w:lastRow="0" w:noHBand="0" w:noVBand="1" w:val="04A0"/>
      </w:tblPr>
      <w:tblGrid>
        <w:gridCol w:w="2088"/>
        <w:gridCol w:w="7992"/>
      </w:tblGrid>
      <w:tr>
        <w:trPr>
          <w:tblHeader w:val="true"/>
        </w:trPr>
        <w:tc>
          <w:tcPr>
            <w:tcW w:type="dxa" w:w="4896"/>
            <w:shd w:fill="1F2937"/>
            <w:tcMar>
              <w:top w:w="80" w:type="dxa"/>
              <w:start w:w="120" w:type="dxa"/>
              <w:bottom w:w="80" w:type="dxa"/>
              <w:end w:w="120" w:type="dxa"/>
            </w:tcMar>
            <w:vAlign w:val="center"/>
          </w:tcPr>
          <w:p>
            <w:r>
              <w:rPr>
                <w:rFonts w:ascii="Aptos" w:hAnsi="Aptos"/>
                <w:b/>
                <w:color w:val="FFFFFF"/>
                <w:sz w:val="19"/>
              </w:rPr>
              <w:t>Provision</w:t>
            </w:r>
          </w:p>
        </w:tc>
        <w:tc>
          <w:tcPr>
            <w:tcW w:type="dxa" w:w="4896"/>
            <w:shd w:fill="1F2937"/>
            <w:tcMar>
              <w:top w:w="80" w:type="dxa"/>
              <w:start w:w="120" w:type="dxa"/>
              <w:bottom w:w="80" w:type="dxa"/>
              <w:end w:w="120" w:type="dxa"/>
            </w:tcMar>
            <w:vAlign w:val="center"/>
          </w:tcPr>
          <w:p>
            <w:r>
              <w:rPr>
                <w:rFonts w:ascii="Aptos" w:hAnsi="Aptos"/>
                <w:b/>
                <w:color w:val="FFFFFF"/>
                <w:sz w:val="19"/>
              </w:rPr>
              <w:t>Effect of CA-001</w:t>
            </w:r>
          </w:p>
        </w:tc>
      </w:tr>
      <w:tr>
        <w:tc>
          <w:tcPr>
            <w:tcW w:type="dxa" w:w="2088"/>
            <w:tcMar>
              <w:top w:w="80" w:type="dxa"/>
              <w:start w:w="120" w:type="dxa"/>
              <w:bottom w:w="80" w:type="dxa"/>
              <w:end w:w="120" w:type="dxa"/>
            </w:tcMar>
            <w:vAlign w:val="top"/>
          </w:tcPr>
          <w:p>
            <w:r>
              <w:rPr>
                <w:rFonts w:ascii="Aptos" w:hAnsi="Aptos"/>
                <w:sz w:val="18"/>
              </w:rPr>
              <w:t>Article II §7</w:t>
            </w:r>
          </w:p>
        </w:tc>
        <w:tc>
          <w:tcPr>
            <w:tcW w:type="dxa" w:w="7992"/>
            <w:tcMar>
              <w:top w:w="80" w:type="dxa"/>
              <w:start w:w="120" w:type="dxa"/>
              <w:bottom w:w="80" w:type="dxa"/>
              <w:end w:w="120" w:type="dxa"/>
            </w:tcMar>
            <w:vAlign w:val="top"/>
          </w:tcPr>
          <w:p>
            <w:r>
              <w:rPr>
                <w:rFonts w:ascii="Aptos" w:hAnsi="Aptos"/>
                <w:sz w:val="18"/>
              </w:rPr>
              <w:t>Replaces the former provision treating the Prize as an Association programme with recognition of the Prize as a distinct literary prize governed through its own instruments.</w:t>
            </w:r>
          </w:p>
        </w:tc>
      </w:tr>
      <w:tr>
        <w:tc>
          <w:tcPr>
            <w:tcW w:type="dxa" w:w="2088"/>
            <w:tcMar>
              <w:top w:w="80" w:type="dxa"/>
              <w:start w:w="120" w:type="dxa"/>
              <w:bottom w:w="80" w:type="dxa"/>
              <w:end w:w="120" w:type="dxa"/>
            </w:tcMar>
            <w:vAlign w:val="top"/>
          </w:tcPr>
          <w:p>
            <w:r>
              <w:rPr>
                <w:rFonts w:ascii="Aptos" w:hAnsi="Aptos"/>
                <w:sz w:val="18"/>
              </w:rPr>
              <w:t>Article II §8</w:t>
            </w:r>
          </w:p>
        </w:tc>
        <w:tc>
          <w:tcPr>
            <w:tcW w:type="dxa" w:w="7992"/>
            <w:tcMar>
              <w:top w:w="80" w:type="dxa"/>
              <w:start w:w="120" w:type="dxa"/>
              <w:bottom w:w="80" w:type="dxa"/>
              <w:end w:w="120" w:type="dxa"/>
            </w:tcMar>
            <w:vAlign w:val="top"/>
          </w:tcPr>
          <w:p>
            <w:r>
              <w:rPr>
                <w:rFonts w:ascii="Aptos" w:hAnsi="Aptos"/>
                <w:sz w:val="18"/>
              </w:rPr>
              <w:t>Clarifies that membership guarantees no recognition by any prize or external body.</w:t>
            </w:r>
          </w:p>
        </w:tc>
      </w:tr>
      <w:tr>
        <w:tc>
          <w:tcPr>
            <w:tcW w:type="dxa" w:w="2088"/>
            <w:tcMar>
              <w:top w:w="80" w:type="dxa"/>
              <w:start w:w="120" w:type="dxa"/>
              <w:bottom w:w="80" w:type="dxa"/>
              <w:end w:w="120" w:type="dxa"/>
            </w:tcMar>
            <w:vAlign w:val="top"/>
          </w:tcPr>
          <w:p>
            <w:r>
              <w:rPr>
                <w:rFonts w:ascii="Aptos" w:hAnsi="Aptos"/>
                <w:sz w:val="18"/>
              </w:rPr>
              <w:t>Article IV §7</w:t>
            </w:r>
          </w:p>
        </w:tc>
        <w:tc>
          <w:tcPr>
            <w:tcW w:type="dxa" w:w="7992"/>
            <w:tcMar>
              <w:top w:w="80" w:type="dxa"/>
              <w:start w:w="120" w:type="dxa"/>
              <w:bottom w:w="80" w:type="dxa"/>
              <w:end w:w="120" w:type="dxa"/>
            </w:tcMar>
            <w:vAlign w:val="top"/>
          </w:tcPr>
          <w:p>
            <w:r>
              <w:rPr>
                <w:rFonts w:ascii="Aptos" w:hAnsi="Aptos"/>
                <w:sz w:val="18"/>
              </w:rPr>
              <w:t>Preserves complete separation between Association membership and Prize participation or recognition.</w:t>
            </w:r>
          </w:p>
        </w:tc>
      </w:tr>
      <w:tr>
        <w:tc>
          <w:tcPr>
            <w:tcW w:type="dxa" w:w="2088"/>
            <w:tcMar>
              <w:top w:w="80" w:type="dxa"/>
              <w:start w:w="120" w:type="dxa"/>
              <w:bottom w:w="80" w:type="dxa"/>
              <w:end w:w="120" w:type="dxa"/>
            </w:tcMar>
            <w:vAlign w:val="top"/>
          </w:tcPr>
          <w:p>
            <w:r>
              <w:rPr>
                <w:rFonts w:ascii="Aptos" w:hAnsi="Aptos"/>
                <w:sz w:val="18"/>
              </w:rPr>
              <w:t>Article VII §§4–5</w:t>
            </w:r>
          </w:p>
        </w:tc>
        <w:tc>
          <w:tcPr>
            <w:tcW w:type="dxa" w:w="7992"/>
            <w:tcMar>
              <w:top w:w="80" w:type="dxa"/>
              <w:start w:w="120" w:type="dxa"/>
              <w:bottom w:w="80" w:type="dxa"/>
              <w:end w:w="120" w:type="dxa"/>
            </w:tcMar>
            <w:vAlign w:val="top"/>
          </w:tcPr>
          <w:p>
            <w:r>
              <w:rPr>
                <w:rFonts w:ascii="Aptos" w:hAnsi="Aptos"/>
                <w:sz w:val="18"/>
              </w:rPr>
              <w:t>Clarifies Founder role separation and removes Association-level rules governing the Founder’s Prize eligibility; such rules belong to Prize governance.</w:t>
            </w:r>
          </w:p>
        </w:tc>
      </w:tr>
      <w:tr>
        <w:tc>
          <w:tcPr>
            <w:tcW w:type="dxa" w:w="2088"/>
            <w:tcMar>
              <w:top w:w="80" w:type="dxa"/>
              <w:start w:w="120" w:type="dxa"/>
              <w:bottom w:w="80" w:type="dxa"/>
              <w:end w:w="120" w:type="dxa"/>
            </w:tcMar>
            <w:vAlign w:val="top"/>
          </w:tcPr>
          <w:p>
            <w:r>
              <w:rPr>
                <w:rFonts w:ascii="Aptos" w:hAnsi="Aptos"/>
                <w:sz w:val="18"/>
              </w:rPr>
              <w:t>Article IX</w:t>
            </w:r>
          </w:p>
        </w:tc>
        <w:tc>
          <w:tcPr>
            <w:tcW w:type="dxa" w:w="7992"/>
            <w:tcMar>
              <w:top w:w="80" w:type="dxa"/>
              <w:start w:w="120" w:type="dxa"/>
              <w:bottom w:w="80" w:type="dxa"/>
              <w:end w:w="120" w:type="dxa"/>
            </w:tcMar>
            <w:vAlign w:val="top"/>
          </w:tcPr>
          <w:p>
            <w:r>
              <w:rPr>
                <w:rFonts w:ascii="Aptos" w:hAnsi="Aptos"/>
                <w:sz w:val="18"/>
              </w:rPr>
              <w:t>Replaced in full. The new Article recognizes the Prize, establishes institutional and membership separation, assigns Prize governance to separate instruments, preserves the shared lineage, and rejects automatic agency or control.</w:t>
            </w:r>
          </w:p>
        </w:tc>
      </w:tr>
      <w:tr>
        <w:tc>
          <w:tcPr>
            <w:tcW w:type="dxa" w:w="2088"/>
            <w:tcMar>
              <w:top w:w="80" w:type="dxa"/>
              <w:start w:w="120" w:type="dxa"/>
              <w:bottom w:w="80" w:type="dxa"/>
              <w:end w:w="120" w:type="dxa"/>
            </w:tcMar>
            <w:vAlign w:val="top"/>
          </w:tcPr>
          <w:p>
            <w:r>
              <w:rPr>
                <w:rFonts w:ascii="Aptos" w:hAnsi="Aptos"/>
                <w:sz w:val="18"/>
              </w:rPr>
              <w:t>Article X §§3–4</w:t>
            </w:r>
          </w:p>
        </w:tc>
        <w:tc>
          <w:tcPr>
            <w:tcW w:type="dxa" w:w="7992"/>
            <w:tcMar>
              <w:top w:w="80" w:type="dxa"/>
              <w:start w:w="120" w:type="dxa"/>
              <w:bottom w:w="80" w:type="dxa"/>
              <w:end w:w="120" w:type="dxa"/>
            </w:tcMar>
            <w:vAlign w:val="top"/>
          </w:tcPr>
          <w:p>
            <w:r>
              <w:rPr>
                <w:rFonts w:ascii="Aptos" w:hAnsi="Aptos"/>
                <w:sz w:val="18"/>
              </w:rPr>
              <w:t>Removes constitutional assertions of Association authority over Prize funding or control while preserving anti-capture protections for Mielogos itself.</w:t>
            </w:r>
          </w:p>
        </w:tc>
      </w:tr>
      <w:tr>
        <w:tc>
          <w:tcPr>
            <w:tcW w:type="dxa" w:w="2088"/>
            <w:tcMar>
              <w:top w:w="80" w:type="dxa"/>
              <w:start w:w="120" w:type="dxa"/>
              <w:bottom w:w="80" w:type="dxa"/>
              <w:end w:w="120" w:type="dxa"/>
            </w:tcMar>
            <w:vAlign w:val="top"/>
          </w:tcPr>
          <w:p>
            <w:r>
              <w:rPr>
                <w:rFonts w:ascii="Aptos" w:hAnsi="Aptos"/>
                <w:sz w:val="18"/>
              </w:rPr>
              <w:t>Article XI §3</w:t>
            </w:r>
          </w:p>
        </w:tc>
        <w:tc>
          <w:tcPr>
            <w:tcW w:type="dxa" w:w="7992"/>
            <w:tcMar>
              <w:top w:w="80" w:type="dxa"/>
              <w:start w:w="120" w:type="dxa"/>
              <w:bottom w:w="80" w:type="dxa"/>
              <w:end w:w="120" w:type="dxa"/>
            </w:tcMar>
            <w:vAlign w:val="top"/>
          </w:tcPr>
          <w:p>
            <w:r>
              <w:rPr>
                <w:rFonts w:ascii="Aptos" w:hAnsi="Aptos"/>
                <w:sz w:val="18"/>
              </w:rPr>
              <w:t>Recasts the FFRI-NM relationship so that support does not imply authority over any distinct associated institution.</w:t>
            </w:r>
          </w:p>
        </w:tc>
      </w:tr>
      <w:tr>
        <w:tc>
          <w:tcPr>
            <w:tcW w:type="dxa" w:w="2088"/>
            <w:tcMar>
              <w:top w:w="80" w:type="dxa"/>
              <w:start w:w="120" w:type="dxa"/>
              <w:bottom w:w="80" w:type="dxa"/>
              <w:end w:w="120" w:type="dxa"/>
            </w:tcMar>
            <w:vAlign w:val="top"/>
          </w:tcPr>
          <w:p>
            <w:r>
              <w:rPr>
                <w:rFonts w:ascii="Aptos" w:hAnsi="Aptos"/>
                <w:sz w:val="18"/>
              </w:rPr>
              <w:t>Article XII §§1–2, 5</w:t>
            </w:r>
          </w:p>
        </w:tc>
        <w:tc>
          <w:tcPr>
            <w:tcW w:type="dxa" w:w="7992"/>
            <w:tcMar>
              <w:top w:w="80" w:type="dxa"/>
              <w:start w:w="120" w:type="dxa"/>
              <w:bottom w:w="80" w:type="dxa"/>
              <w:end w:w="120" w:type="dxa"/>
            </w:tcMar>
            <w:vAlign w:val="top"/>
          </w:tcPr>
          <w:p>
            <w:r>
              <w:rPr>
                <w:rFonts w:ascii="Aptos" w:hAnsi="Aptos"/>
                <w:sz w:val="18"/>
              </w:rPr>
              <w:t>Separates Association marks from Prize marks and limits Mielogos protection to its own identity and accurate representation of the relationship.</w:t>
            </w:r>
          </w:p>
        </w:tc>
      </w:tr>
      <w:tr>
        <w:tc>
          <w:tcPr>
            <w:tcW w:type="dxa" w:w="2088"/>
            <w:tcMar>
              <w:top w:w="80" w:type="dxa"/>
              <w:start w:w="120" w:type="dxa"/>
              <w:bottom w:w="80" w:type="dxa"/>
              <w:end w:w="120" w:type="dxa"/>
            </w:tcMar>
            <w:vAlign w:val="top"/>
          </w:tcPr>
          <w:p>
            <w:r>
              <w:rPr>
                <w:rFonts w:ascii="Aptos" w:hAnsi="Aptos"/>
                <w:sz w:val="18"/>
              </w:rPr>
              <w:t>Article XIII §4</w:t>
            </w:r>
          </w:p>
        </w:tc>
        <w:tc>
          <w:tcPr>
            <w:tcW w:type="dxa" w:w="7992"/>
            <w:tcMar>
              <w:top w:w="80" w:type="dxa"/>
              <w:start w:w="120" w:type="dxa"/>
              <w:bottom w:w="80" w:type="dxa"/>
              <w:end w:w="120" w:type="dxa"/>
            </w:tcMar>
            <w:vAlign w:val="top"/>
          </w:tcPr>
          <w:p>
            <w:r>
              <w:rPr>
                <w:rFonts w:ascii="Aptos" w:hAnsi="Aptos"/>
                <w:sz w:val="18"/>
              </w:rPr>
              <w:t>Removes Prize eligibility from Association policy-transparency obligations.</w:t>
            </w:r>
          </w:p>
        </w:tc>
      </w:tr>
      <w:tr>
        <w:tc>
          <w:tcPr>
            <w:tcW w:type="dxa" w:w="2088"/>
            <w:tcMar>
              <w:top w:w="80" w:type="dxa"/>
              <w:start w:w="120" w:type="dxa"/>
              <w:bottom w:w="80" w:type="dxa"/>
              <w:end w:w="120" w:type="dxa"/>
            </w:tcMar>
            <w:vAlign w:val="top"/>
          </w:tcPr>
          <w:p>
            <w:r>
              <w:rPr>
                <w:rFonts w:ascii="Aptos" w:hAnsi="Aptos"/>
                <w:sz w:val="18"/>
              </w:rPr>
              <w:t>Article XV §§3, 5</w:t>
            </w:r>
          </w:p>
        </w:tc>
        <w:tc>
          <w:tcPr>
            <w:tcW w:type="dxa" w:w="7992"/>
            <w:tcMar>
              <w:top w:w="80" w:type="dxa"/>
              <w:start w:w="120" w:type="dxa"/>
              <w:bottom w:w="80" w:type="dxa"/>
              <w:end w:w="120" w:type="dxa"/>
            </w:tcMar>
            <w:vAlign w:val="top"/>
          </w:tcPr>
          <w:p>
            <w:r>
              <w:rPr>
                <w:rFonts w:ascii="Aptos" w:hAnsi="Aptos"/>
                <w:sz w:val="18"/>
              </w:rPr>
              <w:t>Replaces Prize-specific conflict rules with a rule for conflicts involving distinct associated institutions.</w:t>
            </w:r>
          </w:p>
        </w:tc>
      </w:tr>
      <w:tr>
        <w:tc>
          <w:tcPr>
            <w:tcW w:type="dxa" w:w="2088"/>
            <w:tcMar>
              <w:top w:w="80" w:type="dxa"/>
              <w:start w:w="120" w:type="dxa"/>
              <w:bottom w:w="80" w:type="dxa"/>
              <w:end w:w="120" w:type="dxa"/>
            </w:tcMar>
            <w:vAlign w:val="top"/>
          </w:tcPr>
          <w:p>
            <w:r>
              <w:rPr>
                <w:rFonts w:ascii="Aptos" w:hAnsi="Aptos"/>
                <w:sz w:val="18"/>
              </w:rPr>
              <w:t>Article XVII §5</w:t>
            </w:r>
          </w:p>
        </w:tc>
        <w:tc>
          <w:tcPr>
            <w:tcW w:type="dxa" w:w="7992"/>
            <w:tcMar>
              <w:top w:w="80" w:type="dxa"/>
              <w:start w:w="120" w:type="dxa"/>
              <w:bottom w:w="80" w:type="dxa"/>
              <w:end w:w="120" w:type="dxa"/>
            </w:tcMar>
            <w:vAlign w:val="top"/>
          </w:tcPr>
          <w:p>
            <w:r>
              <w:rPr>
                <w:rFonts w:ascii="Aptos" w:hAnsi="Aptos"/>
                <w:sz w:val="18"/>
              </w:rPr>
              <w:t>Clarifies that dissolution of Mielogos does not dissolve, transfer, or determine the governance or recognition records of The Mielogos Prize.</w:t>
            </w:r>
          </w:p>
        </w:tc>
      </w:tr>
      <w:tr>
        <w:tc>
          <w:tcPr>
            <w:tcW w:type="dxa" w:w="2088"/>
            <w:tcMar>
              <w:top w:w="80" w:type="dxa"/>
              <w:start w:w="120" w:type="dxa"/>
              <w:bottom w:w="80" w:type="dxa"/>
              <w:end w:w="120" w:type="dxa"/>
            </w:tcMar>
            <w:vAlign w:val="top"/>
          </w:tcPr>
          <w:p>
            <w:r>
              <w:rPr>
                <w:rFonts w:ascii="Aptos" w:hAnsi="Aptos"/>
                <w:sz w:val="18"/>
              </w:rPr>
              <w:t>Article XVIII §7 and status record</w:t>
            </w:r>
          </w:p>
        </w:tc>
        <w:tc>
          <w:tcPr>
            <w:tcW w:type="dxa" w:w="7992"/>
            <w:tcMar>
              <w:top w:w="80" w:type="dxa"/>
              <w:start w:w="120" w:type="dxa"/>
              <w:bottom w:w="80" w:type="dxa"/>
              <w:end w:w="120" w:type="dxa"/>
            </w:tcMar>
            <w:vAlign w:val="top"/>
          </w:tcPr>
          <w:p>
            <w:r>
              <w:rPr>
                <w:rFonts w:ascii="Aptos" w:hAnsi="Aptos"/>
                <w:sz w:val="18"/>
              </w:rPr>
              <w:t>Updates the canonical constitutional version from v0.1 to v0.2 and records CA-001 in the closing status line.</w:t>
            </w:r>
          </w:p>
        </w:tc>
      </w:tr>
    </w:tbl>
    <w:p>
      <w:pPr>
        <w:pStyle w:val="Heading1"/>
      </w:pPr>
      <w:r>
        <w:t>Interpretive Effect</w:t>
      </w:r>
    </w:p>
    <w:p>
      <w:r>
        <w:t>The amendment is intended to create separation, not estrangement. Mielogos and The Mielogos Prize may cooperate, share historical or intellectual references, use related branding under valid arrangements, share participants, or support one another. None of those facts alone creates governance, agency, ownership, financial consolidation, or membership rights across the two institutions.</w:t>
      </w:r>
    </w:p>
    <w:p>
      <w:r>
        <w:t>No provision of CA-001 determines the future internal rules of The Mielogos Prize. Eligibility, judging, categories, conflicts of interest, finances, awards, annual cycles, and other Prize matters remain to be developed and adopted separately.</w:t>
      </w:r>
    </w:p>
    <w:p>
      <w:pPr>
        <w:pStyle w:val="Heading1"/>
      </w:pPr>
      <w:r>
        <w:t>Continuity</w:t>
      </w:r>
    </w:p>
    <w:p>
      <w:r>
        <w:t>Constitution v0.1 remains part of the historical record and is superseded as the current governing text by Constitution v0.2. MIELOGOS-AR-001 remains the valid record of the original constitutional adoption. CA-001 records the first constitutional amendment and the transition to v0.2.</w:t>
      </w:r>
    </w:p>
    <w:p>
      <w:pPr>
        <w:pStyle w:val="Heading1"/>
      </w:pPr>
      <w:r>
        <w:t>Decision</w:t>
      </w:r>
    </w:p>
    <w:p>
      <w:r>
        <w:rPr>
          <w:rFonts w:ascii="Aptos" w:hAnsi="Aptos"/>
          <w:b/>
          <w:sz w:val="22"/>
        </w:rPr>
        <w:t>ADOPTED.</w:t>
      </w:r>
      <w:r>
        <w:t xml:space="preserve">  MIELOGOS-CA-001 is effective as of 2 October 2026. MIELOGOS Constitution and Bylaws v0.2 is the current ACTIVE constitutional text.</w:t>
      </w:r>
    </w:p>
    <w:sectPr w:rsidR="00FC693F" w:rsidRPr="0006063C" w:rsidSect="00034616">
      <w:headerReference w:type="default" r:id="rId9"/>
      <w:footerReference w:type="default" r:id="rId10"/>
      <w:pgSz w:w="12240" w:h="15840"/>
      <w:pgMar w:top="1080"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A5A5A"/>
        <w:sz w:val="16"/>
      </w:rPr>
      <w:t xml:space="preserve">ADOPTED  ·  2 October 2026  ·  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color w:val="5A5A5A"/>
        <w:sz w:val="16"/>
      </w:rPr>
      <w:t>MIELOGOS  ·  CONSTITUTIONAL AMENDMENT  ·  CA-001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ascii="Aptos" w:hAnsi="Aptos"/>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w:hAnsi="Aptos"/>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