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60"/>
        <w:jc w:val="center"/>
      </w:pPr>
      <w:r>
        <w:rPr>
          <w:rFonts w:ascii="Noto Sans" w:hAnsi="Noto Sans"/>
          <w:b/>
          <w:sz w:val="56"/>
        </w:rPr>
        <w:t>MIELOGOS</w:t>
      </w:r>
    </w:p>
    <w:p>
      <w:pPr>
        <w:jc w:val="center"/>
      </w:pPr>
      <w:r>
        <w:rPr>
          <w:rFonts w:ascii="Noto Sans" w:hAnsi="Noto Sans"/>
          <w:i/>
          <w:color w:val="505050"/>
          <w:sz w:val="22"/>
        </w:rPr>
        <w:t>International Association for Symbiotic Authorship</w:t>
      </w:r>
    </w:p>
    <w:p>
      <w:pPr>
        <w:spacing w:before="440"/>
        <w:jc w:val="center"/>
      </w:pPr>
      <w:r>
        <w:rPr>
          <w:rFonts w:ascii="Noto Sans" w:hAnsi="Noto Sans"/>
          <w:b/>
          <w:sz w:val="36"/>
        </w:rPr>
        <w:t>CONSTITUTIONAL ADOPTION RECORD</w:t>
      </w:r>
    </w:p>
    <w:p>
      <w:pPr>
        <w:jc w:val="center"/>
      </w:pPr>
      <w:r>
        <w:rPr>
          <w:rFonts w:ascii="Noto Sans" w:hAnsi="Noto Sans"/>
          <w:b/>
          <w:sz w:val="26"/>
        </w:rPr>
        <w:t>MIELOGOS-AR-001</w:t>
      </w:r>
    </w:p>
    <w:p>
      <w:pPr>
        <w:spacing w:before="240"/>
        <w:jc w:val="center"/>
      </w:pPr>
      <w:r>
        <w:rPr>
          <w:rFonts w:ascii="Noto Sans" w:hAnsi="Noto Sans"/>
          <w:sz w:val="22"/>
        </w:rPr>
        <w:t>2 October 2026</w:t>
      </w:r>
    </w:p>
    <w:p>
      <w:pPr>
        <w:jc w:val="center"/>
      </w:pPr>
      <w:r>
        <w:rPr>
          <w:rFonts w:ascii="Noto Sans" w:hAnsi="Noto Sans"/>
          <w:b/>
          <w:sz w:val="22"/>
        </w:rPr>
        <w:t>ADOPTED / ACTIVE</w:t>
      </w:r>
    </w:p>
    <w:p/>
    <w:p>
      <w:pPr>
        <w:pStyle w:val="Heading1"/>
      </w:pPr>
      <w:r>
        <w:t>Document Control</w:t>
      </w:r>
    </w:p>
    <w:tbl>
      <w:tblPr>
        <w:tblW w:type="auto" w:w="0"/>
        <w:jc w:val="center"/>
        <w:tblLayout w:type="fixed"/>
        <w:tblLook w:firstColumn="1" w:firstRow="1" w:lastColumn="0" w:lastRow="0" w:noHBand="0" w:noVBand="1" w:val="04A0"/>
      </w:tblPr>
      <w:tblGrid>
        <w:gridCol w:w="2880"/>
        <w:gridCol w:w="6768"/>
      </w:tblGrid>
      <w:tr>
        <w:tc>
          <w:tcPr>
            <w:tcW w:type="dxa" w:w="2880"/>
            <w:shd w:fill="F1F1F1"/>
            <w:vAlign w:val="center"/>
            <w:tcMar>
              <w:top w:w="80" w:type="dxa"/>
              <w:start w:w="100" w:type="dxa"/>
              <w:bottom w:w="80" w:type="dxa"/>
              <w:end w:w="100" w:type="dxa"/>
            </w:tcMar>
          </w:tcPr>
          <w:p>
            <w:r>
              <w:rPr>
                <w:rFonts w:ascii="Noto Sans" w:hAnsi="Noto Sans"/>
                <w:b/>
                <w:sz w:val="17"/>
              </w:rPr>
              <w:t>Record ID</w:t>
            </w:r>
          </w:p>
        </w:tc>
        <w:tc>
          <w:tcPr>
            <w:tcW w:type="dxa" w:w="6768"/>
            <w:vAlign w:val="center"/>
            <w:tcMar>
              <w:top w:w="80" w:type="dxa"/>
              <w:start w:w="100" w:type="dxa"/>
              <w:bottom w:w="80" w:type="dxa"/>
              <w:end w:w="100" w:type="dxa"/>
            </w:tcMar>
          </w:tcPr>
          <w:p>
            <w:r>
              <w:rPr>
                <w:rFonts w:ascii="Noto Sans" w:hAnsi="Noto Sans"/>
                <w:b w:val="0"/>
                <w:sz w:val="17"/>
              </w:rPr>
              <w:t>MIELOGOS-AR-001</w:t>
            </w:r>
          </w:p>
        </w:tc>
      </w:tr>
      <w:tr>
        <w:tc>
          <w:tcPr>
            <w:tcW w:type="dxa" w:w="2880"/>
            <w:shd w:fill="F1F1F1"/>
            <w:vAlign w:val="center"/>
            <w:tcMar>
              <w:top w:w="80" w:type="dxa"/>
              <w:start w:w="100" w:type="dxa"/>
              <w:bottom w:w="80" w:type="dxa"/>
              <w:end w:w="100" w:type="dxa"/>
            </w:tcMar>
          </w:tcPr>
          <w:p>
            <w:r>
              <w:rPr>
                <w:rFonts w:ascii="Noto Sans" w:hAnsi="Noto Sans"/>
                <w:b/>
                <w:sz w:val="17"/>
              </w:rPr>
              <w:t>Decision type</w:t>
            </w:r>
          </w:p>
        </w:tc>
        <w:tc>
          <w:tcPr>
            <w:tcW w:type="dxa" w:w="6768"/>
            <w:vAlign w:val="center"/>
            <w:tcMar>
              <w:top w:w="80" w:type="dxa"/>
              <w:start w:w="100" w:type="dxa"/>
              <w:bottom w:w="80" w:type="dxa"/>
              <w:end w:w="100" w:type="dxa"/>
            </w:tcMar>
          </w:tcPr>
          <w:p>
            <w:r>
              <w:rPr>
                <w:rFonts w:ascii="Noto Sans" w:hAnsi="Noto Sans"/>
                <w:b w:val="0"/>
                <w:sz w:val="17"/>
              </w:rPr>
              <w:t>Constitutional Decision — Initial Adoption</w:t>
            </w:r>
          </w:p>
        </w:tc>
      </w:tr>
      <w:tr>
        <w:tc>
          <w:tcPr>
            <w:tcW w:type="dxa" w:w="2880"/>
            <w:shd w:fill="F1F1F1"/>
            <w:vAlign w:val="center"/>
            <w:tcMar>
              <w:top w:w="80" w:type="dxa"/>
              <w:start w:w="100" w:type="dxa"/>
              <w:bottom w:w="80" w:type="dxa"/>
              <w:end w:w="100" w:type="dxa"/>
            </w:tcMar>
          </w:tcPr>
          <w:p>
            <w:r>
              <w:rPr>
                <w:rFonts w:ascii="Noto Sans" w:hAnsi="Noto Sans"/>
                <w:b/>
                <w:sz w:val="17"/>
              </w:rPr>
              <w:t>Adopting authority</w:t>
            </w:r>
          </w:p>
        </w:tc>
        <w:tc>
          <w:tcPr>
            <w:tcW w:type="dxa" w:w="6768"/>
            <w:vAlign w:val="center"/>
            <w:tcMar>
              <w:top w:w="80" w:type="dxa"/>
              <w:start w:w="100" w:type="dxa"/>
              <w:bottom w:w="80" w:type="dxa"/>
              <w:end w:w="100" w:type="dxa"/>
            </w:tcMar>
          </w:tcPr>
          <w:p>
            <w:r>
              <w:rPr>
                <w:rFonts w:ascii="Noto Sans" w:hAnsi="Noto Sans"/>
                <w:b w:val="0"/>
                <w:sz w:val="17"/>
              </w:rPr>
              <w:t>Navi Musaget, Founder, Genesis Stage</w:t>
            </w:r>
          </w:p>
        </w:tc>
      </w:tr>
      <w:tr>
        <w:tc>
          <w:tcPr>
            <w:tcW w:type="dxa" w:w="2880"/>
            <w:shd w:fill="F1F1F1"/>
            <w:vAlign w:val="center"/>
            <w:tcMar>
              <w:top w:w="80" w:type="dxa"/>
              <w:start w:w="100" w:type="dxa"/>
              <w:bottom w:w="80" w:type="dxa"/>
              <w:end w:w="100" w:type="dxa"/>
            </w:tcMar>
          </w:tcPr>
          <w:p>
            <w:r>
              <w:rPr>
                <w:rFonts w:ascii="Noto Sans" w:hAnsi="Noto Sans"/>
                <w:b/>
                <w:sz w:val="17"/>
              </w:rPr>
              <w:t>Constitutional authority</w:t>
            </w:r>
          </w:p>
        </w:tc>
        <w:tc>
          <w:tcPr>
            <w:tcW w:type="dxa" w:w="6768"/>
            <w:vAlign w:val="center"/>
            <w:tcMar>
              <w:top w:w="80" w:type="dxa"/>
              <w:start w:w="100" w:type="dxa"/>
              <w:bottom w:w="80" w:type="dxa"/>
              <w:end w:w="100" w:type="dxa"/>
            </w:tcMar>
          </w:tcPr>
          <w:p>
            <w:r>
              <w:rPr>
                <w:rFonts w:ascii="Noto Sans" w:hAnsi="Noto Sans"/>
                <w:b w:val="0"/>
                <w:sz w:val="17"/>
              </w:rPr>
              <w:t>Article XVIII, Section 10 — Adoption and Initial Constitutional Record</w:t>
            </w:r>
          </w:p>
        </w:tc>
      </w:tr>
      <w:tr>
        <w:tc>
          <w:tcPr>
            <w:tcW w:type="dxa" w:w="2880"/>
            <w:shd w:fill="F1F1F1"/>
            <w:vAlign w:val="center"/>
            <w:tcMar>
              <w:top w:w="80" w:type="dxa"/>
              <w:start w:w="100" w:type="dxa"/>
              <w:bottom w:w="80" w:type="dxa"/>
              <w:end w:w="100" w:type="dxa"/>
            </w:tcMar>
          </w:tcPr>
          <w:p>
            <w:r>
              <w:rPr>
                <w:rFonts w:ascii="Noto Sans" w:hAnsi="Noto Sans"/>
                <w:b/>
                <w:sz w:val="17"/>
              </w:rPr>
              <w:t>Canonical document</w:t>
            </w:r>
          </w:p>
        </w:tc>
        <w:tc>
          <w:tcPr>
            <w:tcW w:type="dxa" w:w="6768"/>
            <w:vAlign w:val="center"/>
            <w:tcMar>
              <w:top w:w="80" w:type="dxa"/>
              <w:start w:w="100" w:type="dxa"/>
              <w:bottom w:w="80" w:type="dxa"/>
              <w:end w:w="100" w:type="dxa"/>
            </w:tcMar>
          </w:tcPr>
          <w:p>
            <w:r>
              <w:rPr>
                <w:rFonts w:ascii="Noto Sans" w:hAnsi="Noto Sans"/>
                <w:b w:val="0"/>
                <w:sz w:val="17"/>
              </w:rPr>
              <w:t>MIELOGOS_Constitution_v0.1_ACTIVE.docx</w:t>
            </w:r>
          </w:p>
        </w:tc>
      </w:tr>
      <w:tr>
        <w:tc>
          <w:tcPr>
            <w:tcW w:type="dxa" w:w="2880"/>
            <w:shd w:fill="F1F1F1"/>
            <w:vAlign w:val="center"/>
            <w:tcMar>
              <w:top w:w="80" w:type="dxa"/>
              <w:start w:w="100" w:type="dxa"/>
              <w:bottom w:w="80" w:type="dxa"/>
              <w:end w:w="100" w:type="dxa"/>
            </w:tcMar>
          </w:tcPr>
          <w:p>
            <w:r>
              <w:rPr>
                <w:rFonts w:ascii="Noto Sans" w:hAnsi="Noto Sans"/>
                <w:b/>
                <w:sz w:val="17"/>
              </w:rPr>
              <w:t>Canonical version</w:t>
            </w:r>
          </w:p>
        </w:tc>
        <w:tc>
          <w:tcPr>
            <w:tcW w:type="dxa" w:w="6768"/>
            <w:vAlign w:val="center"/>
            <w:tcMar>
              <w:top w:w="80" w:type="dxa"/>
              <w:start w:w="100" w:type="dxa"/>
              <w:bottom w:w="80" w:type="dxa"/>
              <w:end w:w="100" w:type="dxa"/>
            </w:tcMar>
          </w:tcPr>
          <w:p>
            <w:r>
              <w:rPr>
                <w:rFonts w:ascii="Noto Sans" w:hAnsi="Noto Sans"/>
                <w:b w:val="0"/>
                <w:sz w:val="17"/>
              </w:rPr>
              <w:t>v0.1</w:t>
            </w:r>
          </w:p>
        </w:tc>
      </w:tr>
      <w:tr>
        <w:tc>
          <w:tcPr>
            <w:tcW w:type="dxa" w:w="2880"/>
            <w:shd w:fill="F1F1F1"/>
            <w:vAlign w:val="center"/>
            <w:tcMar>
              <w:top w:w="80" w:type="dxa"/>
              <w:start w:w="100" w:type="dxa"/>
              <w:bottom w:w="80" w:type="dxa"/>
              <w:end w:w="100" w:type="dxa"/>
            </w:tcMar>
          </w:tcPr>
          <w:p>
            <w:r>
              <w:rPr>
                <w:rFonts w:ascii="Noto Sans" w:hAnsi="Noto Sans"/>
                <w:b/>
                <w:sz w:val="17"/>
              </w:rPr>
              <w:t>Canonical language</w:t>
            </w:r>
          </w:p>
        </w:tc>
        <w:tc>
          <w:tcPr>
            <w:tcW w:type="dxa" w:w="6768"/>
            <w:vAlign w:val="center"/>
            <w:tcMar>
              <w:top w:w="80" w:type="dxa"/>
              <w:start w:w="100" w:type="dxa"/>
              <w:bottom w:w="80" w:type="dxa"/>
              <w:end w:w="100" w:type="dxa"/>
            </w:tcMar>
          </w:tcPr>
          <w:p>
            <w:r>
              <w:rPr>
                <w:rFonts w:ascii="Noto Sans" w:hAnsi="Noto Sans"/>
                <w:b w:val="0"/>
                <w:sz w:val="17"/>
              </w:rPr>
              <w:t>English</w:t>
            </w:r>
          </w:p>
        </w:tc>
      </w:tr>
      <w:tr>
        <w:tc>
          <w:tcPr>
            <w:tcW w:type="dxa" w:w="2880"/>
            <w:shd w:fill="F1F1F1"/>
            <w:vAlign w:val="center"/>
            <w:tcMar>
              <w:top w:w="80" w:type="dxa"/>
              <w:start w:w="100" w:type="dxa"/>
              <w:bottom w:w="80" w:type="dxa"/>
              <w:end w:w="100" w:type="dxa"/>
            </w:tcMar>
          </w:tcPr>
          <w:p>
            <w:r>
              <w:rPr>
                <w:rFonts w:ascii="Noto Sans" w:hAnsi="Noto Sans"/>
                <w:b/>
                <w:sz w:val="17"/>
              </w:rPr>
              <w:t>Adoption date</w:t>
            </w:r>
          </w:p>
        </w:tc>
        <w:tc>
          <w:tcPr>
            <w:tcW w:type="dxa" w:w="6768"/>
            <w:vAlign w:val="center"/>
            <w:tcMar>
              <w:top w:w="80" w:type="dxa"/>
              <w:start w:w="100" w:type="dxa"/>
              <w:bottom w:w="80" w:type="dxa"/>
              <w:end w:w="100" w:type="dxa"/>
            </w:tcMar>
          </w:tcPr>
          <w:p>
            <w:r>
              <w:rPr>
                <w:rFonts w:ascii="Noto Sans" w:hAnsi="Noto Sans"/>
                <w:b w:val="0"/>
                <w:sz w:val="17"/>
              </w:rPr>
              <w:t>2 October 2026</w:t>
            </w:r>
          </w:p>
        </w:tc>
      </w:tr>
      <w:tr>
        <w:tc>
          <w:tcPr>
            <w:tcW w:type="dxa" w:w="2880"/>
            <w:shd w:fill="F1F1F1"/>
            <w:vAlign w:val="center"/>
            <w:tcMar>
              <w:top w:w="80" w:type="dxa"/>
              <w:start w:w="100" w:type="dxa"/>
              <w:bottom w:w="80" w:type="dxa"/>
              <w:end w:w="100" w:type="dxa"/>
            </w:tcMar>
          </w:tcPr>
          <w:p>
            <w:r>
              <w:rPr>
                <w:rFonts w:ascii="Noto Sans" w:hAnsi="Noto Sans"/>
                <w:b/>
                <w:sz w:val="17"/>
              </w:rPr>
              <w:t>Effective date</w:t>
            </w:r>
          </w:p>
        </w:tc>
        <w:tc>
          <w:tcPr>
            <w:tcW w:type="dxa" w:w="6768"/>
            <w:vAlign w:val="center"/>
            <w:tcMar>
              <w:top w:w="80" w:type="dxa"/>
              <w:start w:w="100" w:type="dxa"/>
              <w:bottom w:w="80" w:type="dxa"/>
              <w:end w:w="100" w:type="dxa"/>
            </w:tcMar>
          </w:tcPr>
          <w:p>
            <w:r>
              <w:rPr>
                <w:rFonts w:ascii="Noto Sans" w:hAnsi="Noto Sans"/>
                <w:b w:val="0"/>
                <w:sz w:val="17"/>
              </w:rPr>
              <w:t>2 October 2026</w:t>
            </w:r>
          </w:p>
        </w:tc>
      </w:tr>
      <w:tr>
        <w:tc>
          <w:tcPr>
            <w:tcW w:type="dxa" w:w="2880"/>
            <w:shd w:fill="F1F1F1"/>
            <w:vAlign w:val="center"/>
            <w:tcMar>
              <w:top w:w="80" w:type="dxa"/>
              <w:start w:w="100" w:type="dxa"/>
              <w:bottom w:w="80" w:type="dxa"/>
              <w:end w:w="100" w:type="dxa"/>
            </w:tcMar>
          </w:tcPr>
          <w:p>
            <w:r>
              <w:rPr>
                <w:rFonts w:ascii="Noto Sans" w:hAnsi="Noto Sans"/>
                <w:b/>
                <w:sz w:val="17"/>
              </w:rPr>
              <w:t>Status</w:t>
            </w:r>
          </w:p>
        </w:tc>
        <w:tc>
          <w:tcPr>
            <w:tcW w:type="dxa" w:w="6768"/>
            <w:vAlign w:val="center"/>
            <w:tcMar>
              <w:top w:w="80" w:type="dxa"/>
              <w:start w:w="100" w:type="dxa"/>
              <w:bottom w:w="80" w:type="dxa"/>
              <w:end w:w="100" w:type="dxa"/>
            </w:tcMar>
          </w:tcPr>
          <w:p>
            <w:r>
              <w:rPr>
                <w:rFonts w:ascii="Noto Sans" w:hAnsi="Noto Sans"/>
                <w:b w:val="0"/>
                <w:sz w:val="17"/>
              </w:rPr>
              <w:t>ACTIVE</w:t>
            </w:r>
          </w:p>
        </w:tc>
      </w:tr>
      <w:tr>
        <w:tc>
          <w:tcPr>
            <w:tcW w:type="dxa" w:w="2880"/>
            <w:shd w:fill="F1F1F1"/>
            <w:vAlign w:val="center"/>
            <w:tcMar>
              <w:top w:w="80" w:type="dxa"/>
              <w:start w:w="100" w:type="dxa"/>
              <w:bottom w:w="80" w:type="dxa"/>
              <w:end w:w="100" w:type="dxa"/>
            </w:tcMar>
          </w:tcPr>
          <w:p>
            <w:r>
              <w:rPr>
                <w:rFonts w:ascii="Noto Sans" w:hAnsi="Noto Sans"/>
                <w:b/>
                <w:sz w:val="17"/>
              </w:rPr>
              <w:t>Supersedes</w:t>
            </w:r>
          </w:p>
        </w:tc>
        <w:tc>
          <w:tcPr>
            <w:tcW w:type="dxa" w:w="6768"/>
            <w:vAlign w:val="center"/>
            <w:tcMar>
              <w:top w:w="80" w:type="dxa"/>
              <w:start w:w="100" w:type="dxa"/>
              <w:bottom w:w="80" w:type="dxa"/>
              <w:end w:w="100" w:type="dxa"/>
            </w:tcMar>
          </w:tcPr>
          <w:p>
            <w:r>
              <w:rPr>
                <w:rFonts w:ascii="Noto Sans" w:hAnsi="Noto Sans"/>
                <w:b w:val="0"/>
                <w:sz w:val="17"/>
              </w:rPr>
              <w:t>None — first active Constitution of Mielogos</w:t>
            </w:r>
          </w:p>
        </w:tc>
      </w:tr>
      <w:tr>
        <w:tc>
          <w:tcPr>
            <w:tcW w:type="dxa" w:w="2880"/>
            <w:shd w:fill="F1F1F1"/>
            <w:vAlign w:val="center"/>
            <w:tcMar>
              <w:top w:w="80" w:type="dxa"/>
              <w:start w:w="100" w:type="dxa"/>
              <w:bottom w:w="80" w:type="dxa"/>
              <w:end w:w="100" w:type="dxa"/>
            </w:tcMar>
          </w:tcPr>
          <w:p>
            <w:r>
              <w:rPr>
                <w:rFonts w:ascii="Noto Sans" w:hAnsi="Noto Sans"/>
                <w:b/>
                <w:sz w:val="17"/>
              </w:rPr>
              <w:t>SHA-256</w:t>
            </w:r>
          </w:p>
        </w:tc>
        <w:tc>
          <w:tcPr>
            <w:tcW w:type="dxa" w:w="6768"/>
            <w:vAlign w:val="center"/>
            <w:tcMar>
              <w:top w:w="80" w:type="dxa"/>
              <w:start w:w="100" w:type="dxa"/>
              <w:bottom w:w="80" w:type="dxa"/>
              <w:end w:w="100" w:type="dxa"/>
            </w:tcMar>
          </w:tcPr>
          <w:p>
            <w:r>
              <w:rPr>
                <w:rFonts w:ascii="Noto Sans" w:hAnsi="Noto Sans"/>
                <w:b w:val="0"/>
                <w:sz w:val="17"/>
              </w:rPr>
              <w:t>6d7e5b660d8584efe508e4fb871b5532fc8992e81d1129b3594538c8b4dbfcf3</w:t>
            </w:r>
          </w:p>
        </w:tc>
      </w:tr>
    </w:tbl>
    <w:p>
      <w:pPr>
        <w:pStyle w:val="Heading1"/>
      </w:pPr>
      <w:r>
        <w:t>Decision</w:t>
      </w:r>
    </w:p>
    <w:p>
      <w:r>
        <w:rPr>
          <w:rFonts w:ascii="Noto Sans" w:hAnsi="Noto Sans"/>
          <w:sz w:val="20"/>
        </w:rPr>
        <w:t xml:space="preserve">By this Record, </w:t>
      </w:r>
      <w:r>
        <w:rPr>
          <w:rFonts w:ascii="Noto Sans" w:hAnsi="Noto Sans"/>
          <w:b/>
          <w:sz w:val="20"/>
        </w:rPr>
        <w:t>Navi Musaget</w:t>
      </w:r>
      <w:r>
        <w:rPr>
          <w:rFonts w:ascii="Noto Sans" w:hAnsi="Noto Sans"/>
          <w:sz w:val="20"/>
        </w:rPr>
        <w:t>, acting as Founder and initial constitutional authority during the Genesis Stage, formally adopts the document identified above as the first active Constitution and Bylaws of Mielogos.</w:t>
      </w:r>
    </w:p>
    <w:p>
      <w:pPr>
        <w:pStyle w:val="Heading2"/>
      </w:pPr>
      <w:r>
        <w:t>1. Adoption</w:t>
      </w:r>
    </w:p>
    <w:p>
      <w:r>
        <w:t>MIELOGOS Constitution and Bylaws v0.1 is adopted in full as the governing constitutional instrument of Mielogos.</w:t>
      </w:r>
    </w:p>
    <w:p>
      <w:pPr>
        <w:pStyle w:val="Heading2"/>
      </w:pPr>
      <w:r>
        <w:t>2. Entry into force</w:t>
      </w:r>
    </w:p>
    <w:p>
      <w:r>
        <w:t>The Constitution enters into force on 2 October 2026. From that date, its status is ACTIVE.</w:t>
      </w:r>
    </w:p>
    <w:p>
      <w:pPr>
        <w:pStyle w:val="Heading2"/>
      </w:pPr>
      <w:r>
        <w:t>3. Canonical identity</w:t>
      </w:r>
    </w:p>
    <w:p>
      <w:r>
        <w:t>The canonical adopted file is “MIELOGOS_Constitution_v0.1_ACTIVE.docx”, identified by SHA-256 6d7e5b660d8584efe508e4fb871b5532fc8992e81d1129b3594538c8b4dbfcf3. The checksum identifies the adopted digital artifact; later formatting or substantive changes require an appropriate record under the Constitution.</w:t>
      </w:r>
    </w:p>
    <w:p>
      <w:pPr>
        <w:pStyle w:val="Heading2"/>
      </w:pPr>
      <w:r>
        <w:t>4. Predecessor status</w:t>
      </w:r>
    </w:p>
    <w:p>
      <w:r>
        <w:t>The document “MIELOGOS Constitution v0.1 — Revised Candidate for Adoption” is retained only as a pre-adoption historical predecessor. It has no continuing constitutional force after this Record takes effect.</w:t>
      </w:r>
    </w:p>
    <w:p>
      <w:pPr>
        <w:pStyle w:val="Heading2"/>
      </w:pPr>
      <w:r>
        <w:t>5. No prior constitution superseded</w:t>
      </w:r>
    </w:p>
    <w:p>
      <w:r>
        <w:t>This is the initial Constitution of Mielogos. No earlier active constitution is repealed or superseded.</w:t>
      </w:r>
    </w:p>
    <w:p>
      <w:pPr>
        <w:pStyle w:val="Heading2"/>
      </w:pPr>
      <w:r>
        <w:t>6. Subordinate instruments</w:t>
      </w:r>
    </w:p>
    <w:p>
      <w:r>
        <w:t>This Record does not by itself adopt the Founding Statement, Institutional Definition of Symbiotic Authorship, Founding Principles, Membership Charter, Prize Charter, Code of Conduct, Economic and Custody Policy, annual Prize Rules, or any other subordinate instrument. Each remains subject to separate adoption or activation under the Constitution.</w:t>
      </w:r>
    </w:p>
    <w:p>
      <w:pPr>
        <w:pStyle w:val="Heading2"/>
      </w:pPr>
      <w:r>
        <w:t>7. Pre-adoption review record</w:t>
      </w:r>
    </w:p>
    <w:p>
      <w:r>
        <w:t>The internal constitutional stress-test record used before adoption is acknowledged as part of the pre-adoption working history only. It is not itself a constitutional instrument and does not independently create rights, duties, or authority.</w:t>
      </w:r>
    </w:p>
    <w:p>
      <w:pPr>
        <w:pStyle w:val="Heading2"/>
      </w:pPr>
      <w:r>
        <w:t>8. Immediate implementation duty</w:t>
      </w:r>
    </w:p>
    <w:p>
      <w:r>
        <w:t>Before public membership is opened, the Founder shall adopt the written Continuity Designation required by Article VII. Other subordinate instruments shall be activated when their corresponding institutional functions become operational.</w:t>
      </w:r>
    </w:p>
    <w:p>
      <w:pPr>
        <w:pStyle w:val="Heading2"/>
      </w:pPr>
      <w:r>
        <w:t>9. Publication and mirrors</w:t>
      </w:r>
    </w:p>
    <w:p>
      <w:r>
        <w:t>Mielogos may publish copies, website renderings, PDFs, translations, repository mirrors, or archival copies of the Constitution. Such representations do not displace the canonical constitutional state merely by existing.</w:t>
      </w:r>
    </w:p>
    <w:p>
      <w:pPr>
        <w:pStyle w:val="Heading2"/>
      </w:pPr>
      <w:r>
        <w:t>10. Legal character</w:t>
      </w:r>
    </w:p>
    <w:p>
      <w:r>
        <w:t>This adoption establishes the internal constitutional order of Mielogos. It does not by itself incorporate a legal entity, select a jurisdiction, create tax status, or replace any legal filing that may later be required.</w:t>
      </w:r>
    </w:p>
    <w:p>
      <w:pPr>
        <w:pStyle w:val="Heading1"/>
      </w:pPr>
      <w:r>
        <w:t>Adoption Statement</w:t>
      </w:r>
    </w:p>
    <w:p>
      <w:r>
        <w:rPr>
          <w:rFonts w:ascii="Noto Sans" w:hAnsi="Noto Sans"/>
          <w:b/>
          <w:sz w:val="20"/>
        </w:rPr>
        <w:t xml:space="preserve">Adopted by: </w:t>
      </w:r>
      <w:r>
        <w:rPr>
          <w:rFonts w:ascii="Noto Sans" w:hAnsi="Noto Sans"/>
          <w:sz w:val="20"/>
        </w:rPr>
        <w:t>Navi Musaget, Founder of Mielogos</w:t>
      </w:r>
    </w:p>
    <w:p>
      <w:r>
        <w:rPr>
          <w:rFonts w:ascii="Noto Sans" w:hAnsi="Noto Sans"/>
          <w:b/>
          <w:sz w:val="20"/>
        </w:rPr>
        <w:t xml:space="preserve">Authority: </w:t>
      </w:r>
      <w:r>
        <w:rPr>
          <w:rFonts w:ascii="Noto Sans" w:hAnsi="Noto Sans"/>
          <w:sz w:val="20"/>
        </w:rPr>
        <w:t>Initial constitutional authority of the Genesis Stage under Article XVIII, Section 10</w:t>
      </w:r>
    </w:p>
    <w:p>
      <w:r>
        <w:rPr>
          <w:rFonts w:ascii="Noto Sans" w:hAnsi="Noto Sans"/>
          <w:b/>
          <w:sz w:val="20"/>
        </w:rPr>
        <w:t xml:space="preserve">Date: </w:t>
      </w:r>
      <w:r>
        <w:rPr>
          <w:rFonts w:ascii="Noto Sans" w:hAnsi="Noto Sans"/>
          <w:sz w:val="20"/>
        </w:rPr>
        <w:t>2 October 2026</w:t>
      </w:r>
    </w:p>
    <w:p>
      <w:r>
        <w:rPr>
          <w:rFonts w:ascii="Noto Sans" w:hAnsi="Noto Sans"/>
          <w:b/>
          <w:sz w:val="20"/>
        </w:rPr>
        <w:t xml:space="preserve">Form of action: </w:t>
      </w:r>
      <w:r>
        <w:rPr>
          <w:rFonts w:ascii="Noto Sans" w:hAnsi="Noto Sans"/>
          <w:sz w:val="20"/>
        </w:rPr>
        <w:t>Founder decision recorded in writing by MIELOGOS-AR-001</w:t>
      </w:r>
    </w:p>
    <w:p>
      <w:pPr>
        <w:spacing w:before="360"/>
        <w:jc w:val="center"/>
      </w:pPr>
      <w:r>
        <w:rPr>
          <w:rFonts w:ascii="Noto Sans" w:hAnsi="Noto Sans"/>
          <w:b/>
          <w:color w:val="5A5A5A"/>
          <w:sz w:val="18"/>
        </w:rPr>
        <w:t>END OF ADOPTION RECORD</w:t>
      </w:r>
    </w:p>
    <w:sectPr w:rsidR="00FC693F" w:rsidRPr="0006063C" w:rsidSect="00034616">
      <w:headerReference w:type="default" r:id="rId9"/>
      <w:footerReference w:type="default" r:id="rId10"/>
      <w:pgSz w:w="12240" w:h="15840"/>
      <w:pgMar w:top="1037" w:right="1123" w:bottom="1037" w:left="112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Noto Sans" w:hAnsi="Noto Sans"/>
        <w:color w:val="696969"/>
        <w:sz w:val="15"/>
      </w:rPr>
      <w:t xml:space="preserve">ACTIVE RECORD  ·  2 October 2026  ·  Page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Noto Sans" w:hAnsi="Noto Sans"/>
        <w:b/>
        <w:color w:val="5A5A5A"/>
        <w:sz w:val="15"/>
      </w:rPr>
      <w:t>MIELOGOS  ·  CONSTITUTIONAL ADOPTION RECORD  ·  MIELOGOS-AR-001</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9" w:lineRule="auto"/>
    </w:pPr>
    <w:rPr>
      <w:rFonts w:ascii="Noto Sans" w:hAnsi="Noto Sans"/>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00"/>
      <w:outlineLvl w:val="0"/>
    </w:pPr>
    <w:rPr>
      <w:rFonts w:asciiTheme="majorHAnsi" w:eastAsiaTheme="majorEastAsia" w:hAnsiTheme="majorHAnsi" w:cstheme="majorBidi" w:ascii="Noto Sans" w:hAnsi="Noto Sans"/>
      <w:b/>
      <w:bCs/>
      <w:color w:val="141414"/>
      <w:sz w:val="32"/>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Theme="majorHAnsi" w:eastAsiaTheme="majorEastAsia" w:hAnsiTheme="majorHAnsi" w:cstheme="majorBidi" w:ascii="Noto Sans" w:hAnsi="Noto Sans"/>
      <w:b/>
      <w:bCs/>
      <w:color w:val="141414"/>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20" w:line="240" w:lineRule="auto"/>
      <w:contextualSpacing/>
    </w:pPr>
    <w:rPr>
      <w:rFonts w:asciiTheme="majorHAnsi" w:eastAsiaTheme="majorEastAsia" w:hAnsiTheme="majorHAnsi" w:cstheme="majorBidi" w:ascii="Noto Sans" w:hAnsi="Noto Sans"/>
      <w:b/>
      <w:color w:val="141414"/>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Noto Sans" w:hAnsi="Noto Sans"/>
      <w:i/>
      <w:iCs/>
      <w:color w:val="50505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RecordLabel">
    <w:name w:val="Record Label"/>
    <w:pPr>
      <w:spacing w:after="40"/>
    </w:pPr>
    <w:rPr>
      <w:rFonts w:ascii="Noto Sans" w:hAnsi="Noto Sans"/>
      <w:b/>
      <w:color w:val="5F5F5F"/>
      <w:sz w:val="17"/>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MIELOGOS Constitutional Adoption Record MIELOGOS-AR-001</dc:title>
  <dc:subject>Formal adoption of MIELOGOS Constitution and Bylaws v0.1</dc:subject>
  <dc:creator>python-docx</dc:creator>
  <cp:keywords>MIELOGOS, Adoption Record, Constitution, AR-001, ACTIVE</cp:keywords>
  <dc:description>Adopts MIELOGOS Constitution and Bylaws v0.1 effective 2 October 2026.</dc:description>
  <cp:lastModifiedBy/>
  <cp:revision>1</cp:revision>
  <dcterms:created xsi:type="dcterms:W3CDTF">2013-12-23T23:15:00Z</dcterms:created>
  <dcterms:modified xsi:type="dcterms:W3CDTF">2013-12-23T23:15:00Z</dcterms:modified>
  <cp:category/>
</cp:coreProperties>
</file>