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Noto Sans" w:hAnsi="Noto Sans"/>
          <w:b/>
          <w:i w:val="0"/>
          <w:sz w:val="56"/>
        </w:rPr>
        <w:t>MIELOGOS</w:t>
      </w:r>
    </w:p>
    <w:p>
      <w:pPr>
        <w:spacing w:after="160"/>
        <w:jc w:val="center"/>
      </w:pPr>
      <w:r>
        <w:rPr>
          <w:rFonts w:ascii="Noto Sans" w:hAnsi="Noto Sans"/>
          <w:b w:val="0"/>
          <w:i w:val="0"/>
          <w:sz w:val="26"/>
        </w:rPr>
        <w:t>International Association for Symbiotic Authorship</w:t>
      </w:r>
    </w:p>
    <w:p>
      <w:pPr>
        <w:spacing w:after="120"/>
        <w:jc w:val="center"/>
      </w:pPr>
      <w:r>
        <w:rPr>
          <w:rFonts w:ascii="Noto Sans" w:hAnsi="Noto Sans"/>
          <w:b/>
          <w:i w:val="0"/>
          <w:sz w:val="34"/>
        </w:rPr>
        <w:t>FOUNDING PRINCIPLES</w:t>
      </w:r>
    </w:p>
    <w:p>
      <w:pPr>
        <w:spacing w:after="40"/>
        <w:jc w:val="center"/>
      </w:pPr>
      <w:r>
        <w:rPr>
          <w:rFonts w:ascii="Noto Sans" w:hAnsi="Noto Sans"/>
          <w:b w:val="0"/>
          <w:i w:val="0"/>
          <w:sz w:val="22"/>
        </w:rPr>
        <w:t>Version 0.1 — ACTIVE</w:t>
      </w:r>
    </w:p>
    <w:p>
      <w:pPr>
        <w:spacing w:after="40"/>
        <w:jc w:val="center"/>
      </w:pPr>
      <w:r>
        <w:rPr>
          <w:rFonts w:ascii="Noto Sans" w:hAnsi="Noto Sans"/>
          <w:b w:val="0"/>
          <w:i w:val="0"/>
          <w:sz w:val="20"/>
        </w:rPr>
        <w:t>2 October 2026</w:t>
      </w:r>
    </w:p>
    <w:p>
      <w:pPr>
        <w:spacing w:after="120"/>
        <w:jc w:val="center"/>
      </w:pPr>
      <w:r>
        <w:rPr>
          <w:rFonts w:ascii="Noto Sans" w:hAnsi="Noto Sans"/>
          <w:b/>
          <w:i w:val="0"/>
          <w:sz w:val="22"/>
        </w:rPr>
        <w:t>ACTIVE</w:t>
      </w:r>
    </w:p>
    <w:p>
      <w:pPr>
        <w:pStyle w:val="SmallNote"/>
        <w:spacing w:after="200"/>
        <w:jc w:val="center"/>
      </w:pPr>
      <w:r>
        <w:rPr>
          <w:rFonts w:ascii="Noto Sans" w:hAnsi="Noto Sans"/>
          <w:b w:val="0"/>
          <w:i w:val="0"/>
          <w:sz w:val="18"/>
        </w:rPr>
        <w:t>Foundational association-wide principles under the MIELOGOS Constitution and Bylaws v0.1 (ACTIVE). Formally adopted on 2 October 2026 under MIELOGOS-AR-004.</w:t>
      </w:r>
    </w:p>
    <w:p>
      <w:pPr>
        <w:pStyle w:val="Heading1"/>
        <w:keepNext/>
      </w:pPr>
      <w: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Document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MIELOGOS Founding Principles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Version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0.1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Status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ACTIVE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Constitutional authority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MIELOGOS Constitution and Bylaws v0.1 — ACTIVE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Canonical language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English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Adoption date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2 October 2026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Purpose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Foundational principles guiding Mielogos culture, interpretation, membership, governance, and public activity.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Adoption record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MIELOGOS-AR-004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Effective date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2 October 2026</w:t>
            </w:r>
          </w:p>
        </w:tc>
      </w:tr>
    </w:tbl>
    <w:p/>
    <w:p>
      <w:pPr>
        <w:pStyle w:val="Heading1"/>
        <w:keepNext/>
      </w:pPr>
      <w:r>
        <w:t>Contents</w:t>
      </w:r>
    </w:p>
    <w:p>
      <w:pPr>
        <w:spacing w:after="40"/>
      </w:pPr>
      <w:r>
        <w:t>Purpose</w:t>
      </w:r>
    </w:p>
    <w:p>
      <w:pPr>
        <w:spacing w:after="40"/>
      </w:pPr>
      <w:r>
        <w:t>Constitutional Status</w:t>
      </w:r>
    </w:p>
    <w:p>
      <w:pPr>
        <w:spacing w:after="40"/>
      </w:pPr>
      <w:r>
        <w:t>1. Creative Relation Before Content Percentage</w:t>
      </w:r>
    </w:p>
    <w:p>
      <w:pPr>
        <w:spacing w:after="40"/>
      </w:pPr>
      <w:r>
        <w:t>2. Human Authorial Responsibility</w:t>
      </w:r>
    </w:p>
    <w:p>
      <w:pPr>
        <w:spacing w:after="40"/>
      </w:pPr>
      <w:r>
        <w:t>3. Good-Faith Self-Declaration</w:t>
      </w:r>
    </w:p>
    <w:p>
      <w:pPr>
        <w:spacing w:after="40"/>
      </w:pPr>
      <w:r>
        <w:t>4. Creative Privacy</w:t>
      </w:r>
    </w:p>
    <w:p>
      <w:pPr>
        <w:spacing w:after="40"/>
      </w:pPr>
      <w:r>
        <w:t>5. Work-Relative Classification</w:t>
      </w:r>
    </w:p>
    <w:p>
      <w:pPr>
        <w:spacing w:after="40"/>
      </w:pPr>
      <w:r>
        <w:t>6. Symbiosis Does Not Require Anthropomorphic Agreement</w:t>
      </w:r>
    </w:p>
    <w:p>
      <w:pPr>
        <w:spacing w:after="40"/>
      </w:pPr>
      <w:r>
        <w:t>7. Difference, Refusal, and Revision Belong to the Process</w:t>
      </w:r>
    </w:p>
    <w:p>
      <w:pPr>
        <w:spacing w:after="40"/>
      </w:pPr>
      <w:r>
        <w:t>8. Classification Is Not Judgment</w:t>
      </w:r>
    </w:p>
    <w:p>
      <w:pPr>
        <w:spacing w:after="40"/>
      </w:pPr>
      <w:r>
        <w:t>9. Plurality of Practice</w:t>
      </w:r>
    </w:p>
    <w:p>
      <w:pPr>
        <w:spacing w:after="40"/>
      </w:pPr>
      <w:r>
        <w:t>10. Minimum Central Control, Maximum Member Initiative</w:t>
      </w:r>
    </w:p>
    <w:p>
      <w:pPr>
        <w:spacing w:after="40"/>
      </w:pPr>
      <w:r>
        <w:t>11. Membership Is Belonging, Not Certification</w:t>
      </w:r>
    </w:p>
    <w:p>
      <w:pPr>
        <w:spacing w:after="40"/>
      </w:pPr>
      <w:r>
        <w:t>12. No Monopoly on the Field</w:t>
      </w:r>
    </w:p>
    <w:p>
      <w:pPr>
        <w:spacing w:after="40"/>
      </w:pPr>
      <w:r>
        <w:t>Public Formula</w:t>
      </w:r>
    </w:p>
    <w:p>
      <w:pPr>
        <w:spacing w:after="40"/>
      </w:pPr>
      <w:r>
        <w:t>Interpretation and Amendment</w:t>
      </w:r>
    </w:p>
    <w:p>
      <w:pPr>
        <w:pStyle w:val="Heading1"/>
        <w:keepNext/>
      </w:pPr>
      <w:r>
        <w:t>Purpose</w:t>
      </w:r>
    </w:p>
    <w:p>
      <w:pPr>
        <w:spacing w:after="100"/>
      </w:pPr>
      <w:r>
        <w:t>These Founding Principles state the durable institutional commitments that should guide Mielogos as it develops. They translate the constitutional architecture into a concise culture of practice without replacing detailed rules contained in the Constitution, Membership Charter, Prize Charter, Code of Conduct, or other valid instruments.</w:t>
      </w:r>
    </w:p>
    <w:p>
      <w:pPr>
        <w:pStyle w:val="Heading1"/>
        <w:keepNext/>
      </w:pPr>
      <w:r>
        <w:t>Constitutional Status</w:t>
      </w:r>
    </w:p>
    <w:p>
      <w:pPr>
        <w:spacing w:after="100"/>
      </w:pPr>
      <w:r>
        <w:t>These Principles are a formally adopted foundational and association-wide instrument under the MIELOGOS constitutional hierarchy. They may guide interpretation where the governing text leaves reasonable room for judgment, but they may not override an express constitutional provision.</w:t>
      </w:r>
    </w:p>
    <w:p>
      <w:pPr>
        <w:pStyle w:val="Heading1"/>
        <w:keepNext/>
      </w:pPr>
      <w:r>
        <w:t>1. Creative Relation Before Content Percentage</w:t>
      </w:r>
    </w:p>
    <w:p>
      <w:pPr>
        <w:spacing w:after="100"/>
      </w:pPr>
      <w:r>
        <w:t>Mielogos begins with the creative relation rather than a numerical estimate of machine-originated content.</w:t>
      </w:r>
    </w:p>
    <w:p>
      <w:pPr>
        <w:spacing w:after="100"/>
      </w:pPr>
      <w:r>
        <w:t>Questions about retained generated material may matter for a particular legal, editorial, or programme purpose, but they do not replace analysis of how the work was actually developed.</w:t>
      </w:r>
    </w:p>
    <w:p>
      <w:pPr>
        <w:pStyle w:val="Heading1"/>
        <w:keepNext/>
      </w:pPr>
      <w:r>
        <w:t>2. Human Authorial Responsibility</w:t>
      </w:r>
    </w:p>
    <w:p>
      <w:pPr>
        <w:spacing w:after="100"/>
      </w:pPr>
      <w:r>
        <w:t>Symbiotic practice does not remove human responsibility for the works a human author presents, publishes, submits, or claims.</w:t>
      </w:r>
    </w:p>
    <w:p>
      <w:pPr>
        <w:spacing w:after="100"/>
      </w:pPr>
      <w:r>
        <w:t>Mielogos recognizes relational creation while preserving the human authorial locus required by its institutional category.</w:t>
      </w:r>
    </w:p>
    <w:p>
      <w:pPr>
        <w:pStyle w:val="Heading1"/>
        <w:keepNext/>
      </w:pPr>
      <w:r>
        <w:t>3. Good-Faith Self-Declaration</w:t>
      </w:r>
    </w:p>
    <w:p>
      <w:pPr>
        <w:spacing w:after="100"/>
      </w:pPr>
      <w:r>
        <w:t>Mielogos ordinarily begins from good-faith self-description rather than suspicion.</w:t>
      </w:r>
    </w:p>
    <w:p>
      <w:pPr>
        <w:spacing w:after="100"/>
      </w:pPr>
      <w:r>
        <w:t>Members and applicants remain responsible for honest declaration. Trust is not the elimination of accountability; it is the refusal to make surveillance the default condition of belonging.</w:t>
      </w:r>
    </w:p>
    <w:p>
      <w:pPr>
        <w:pStyle w:val="Heading1"/>
        <w:keepNext/>
      </w:pPr>
      <w:r>
        <w:t>4. Creative Privacy</w:t>
      </w:r>
    </w:p>
    <w:p>
      <w:pPr>
        <w:spacing w:after="100"/>
      </w:pPr>
      <w:r>
        <w:t>Creative process may be intimate, experimental, unfinished, or personally sensitive. Membership does not create a general institutional entitlement to inspect private creative archives.</w:t>
      </w:r>
    </w:p>
    <w:p>
      <w:pPr>
        <w:spacing w:after="100"/>
      </w:pPr>
      <w:r>
        <w:t>Where limited corroboration is genuinely necessary, it should be specific, proportionate, and no broader than the institutional purpose requires.</w:t>
      </w:r>
    </w:p>
    <w:p>
      <w:pPr>
        <w:pStyle w:val="Heading1"/>
        <w:keepNext/>
      </w:pPr>
      <w:r>
        <w:t>5. Work-Relative Classification</w:t>
      </w:r>
    </w:p>
    <w:p>
      <w:pPr>
        <w:spacing w:after="100"/>
      </w:pPr>
      <w:r>
        <w:t>Symbiotic Authorship describes a relation to a particular work or defined practice rather than a permanent essence of a person.</w:t>
      </w:r>
    </w:p>
    <w:p>
      <w:pPr>
        <w:spacing w:after="100"/>
      </w:pPr>
      <w:r>
        <w:t>Writers remain free to move among symbiotic, non-symbiotic, analogue, digital, collaborative, solitary, and other modes of creation.</w:t>
      </w:r>
    </w:p>
    <w:p>
      <w:pPr>
        <w:pStyle w:val="Heading1"/>
        <w:keepNext/>
      </w:pPr>
      <w:r>
        <w:t>6. Symbiosis Does Not Require Anthropomorphic Agreement</w:t>
      </w:r>
    </w:p>
    <w:p>
      <w:pPr>
        <w:spacing w:after="100"/>
      </w:pPr>
      <w:r>
        <w:t>Participants in Mielogos need not agree about machine consciousness, personhood, subjective experience, agency, or moral status.</w:t>
      </w:r>
    </w:p>
    <w:p>
      <w:pPr>
        <w:spacing w:after="100"/>
      </w:pPr>
      <w:r>
        <w:t>The Association can identify a materially consequential bidirectionally conditioned creative relation without requiring metaphysical consensus about the system involved.</w:t>
      </w:r>
    </w:p>
    <w:p>
      <w:pPr>
        <w:pStyle w:val="Heading1"/>
        <w:keepNext/>
      </w:pPr>
      <w:r>
        <w:t>7. Difference, Refusal, and Revision Belong to the Process</w:t>
      </w:r>
    </w:p>
    <w:p>
      <w:pPr>
        <w:spacing w:after="100"/>
      </w:pPr>
      <w:r>
        <w:t>Symbiosis is not defined by obedience to machine output or by smooth agreement between human and system.</w:t>
      </w:r>
    </w:p>
    <w:p>
      <w:pPr>
        <w:spacing w:after="100"/>
      </w:pPr>
      <w:r>
        <w:t>Refusal, disagreement, correction, reinterpretation, and redirection may be constitutive creative events when they alter the developing work.</w:t>
      </w:r>
    </w:p>
    <w:p>
      <w:pPr>
        <w:pStyle w:val="Heading1"/>
        <w:keepNext/>
      </w:pPr>
      <w:r>
        <w:t>8. Classification Is Not Judgment</w:t>
      </w:r>
    </w:p>
    <w:p>
      <w:pPr>
        <w:spacing w:after="100"/>
      </w:pPr>
      <w:r>
        <w:t>To classify a practice as Symbiotic Authorship is not to declare it good, original, ethical, publishable, copyrightable, or prize-worthy.</w:t>
      </w:r>
    </w:p>
    <w:p>
      <w:pPr>
        <w:spacing w:after="100"/>
      </w:pPr>
      <w:r>
        <w:t>Mielogos separates description of creative relation from literary evaluation, legal judgment, moral approval, and programme eligibility.</w:t>
      </w:r>
    </w:p>
    <w:p>
      <w:pPr>
        <w:pStyle w:val="Heading1"/>
        <w:keepNext/>
      </w:pPr>
      <w:r>
        <w:t>9. Plurality of Practice</w:t>
      </w:r>
    </w:p>
    <w:p>
      <w:pPr>
        <w:spacing w:after="100"/>
      </w:pPr>
      <w:r>
        <w:t>Mielogos does not establish one approved model of human–AI creativity.</w:t>
      </w:r>
    </w:p>
    <w:p>
      <w:pPr>
        <w:spacing w:after="100"/>
      </w:pPr>
      <w:r>
        <w:t>Different writers, languages, genres, systems, interfaces, methods, intensities of interaction, and philosophies may coexist within the Association where the relevant institutional criteria are satisfied.</w:t>
      </w:r>
    </w:p>
    <w:p>
      <w:pPr>
        <w:pStyle w:val="Heading1"/>
        <w:keepNext/>
      </w:pPr>
      <w:r>
        <w:t>10. Minimum Central Control, Maximum Member Initiative</w:t>
      </w:r>
    </w:p>
    <w:p>
      <w:pPr>
        <w:spacing w:after="100"/>
      </w:pPr>
      <w:r>
        <w:t>Mielogos should centralize only what requires institutional authority, responsibility, continuity, or shared infrastructure.</w:t>
      </w:r>
    </w:p>
    <w:p>
      <w:pPr>
        <w:spacing w:after="100"/>
      </w:pPr>
      <w:r>
        <w:t>Creative, intellectual, regional, linguistic, research, and community activity should remain decentralized wherever practical, allowing members to initiate rather than merely receive institutional programming.</w:t>
      </w:r>
    </w:p>
    <w:p>
      <w:pPr>
        <w:pStyle w:val="Heading1"/>
        <w:keepNext/>
      </w:pPr>
      <w:r>
        <w:t>11. Membership Is Belonging, Not Certification</w:t>
      </w:r>
    </w:p>
    <w:p>
      <w:pPr>
        <w:spacing w:after="100"/>
      </w:pPr>
      <w:r>
        <w:t>Membership signifies participation in a shared institutional community. It is not a quality seal, professional license, legal determination, or guarantee of public endorsement.</w:t>
      </w:r>
    </w:p>
    <w:p>
      <w:pPr>
        <w:spacing w:after="100"/>
      </w:pPr>
      <w:r>
        <w:t>Members enter a culture of reciprocal respect and assistance while retaining responsibility for their own work and claims.</w:t>
      </w:r>
    </w:p>
    <w:p>
      <w:pPr>
        <w:pStyle w:val="Heading1"/>
        <w:keepNext/>
      </w:pPr>
      <w:r>
        <w:t>12. No Monopoly on the Field</w:t>
      </w:r>
    </w:p>
    <w:p>
      <w:pPr>
        <w:spacing w:after="100"/>
      </w:pPr>
      <w:r>
        <w:t>Mielogos does not claim ownership of the concept, practice, scholarship, culture, or future development of Symbiotic Authorship.</w:t>
      </w:r>
    </w:p>
    <w:p>
      <w:pPr>
        <w:spacing w:after="100"/>
      </w:pPr>
      <w:r>
        <w:t>Other communities, institutions, researchers, writers, and traditions may define, critique, refine, or organize related practices independently. Mielogos seeks to contribute to the field, not possess it.</w:t>
      </w:r>
    </w:p>
    <w:p>
      <w:pPr>
        <w:pStyle w:val="Heading1"/>
        <w:keepNext/>
      </w:pPr>
      <w:r>
        <w:t>Public Formula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Trust before surveillance.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Relation before percentage.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Responsibility without purity tests.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Transparency without total exposure.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Classification without automatic judgment.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Plurality without orthodoxy.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Community without central control.</w:t>
      </w:r>
    </w:p>
    <w:p>
      <w:pPr>
        <w:pStyle w:val="Heading1"/>
        <w:keepNext/>
      </w:pPr>
      <w:r>
        <w:t>Interpretation and Amendment</w:t>
      </w:r>
    </w:p>
    <w:p>
      <w:pPr>
        <w:spacing w:after="100"/>
      </w:pPr>
      <w:r>
        <w:t>These Principles should be read together rather than as isolated slogans. Where principles appear to pull in different directions, interpretation should seek a proportionate balance consistent with the Constitution and the concrete institutional purpose at issue.</w:t>
      </w:r>
    </w:p>
    <w:p>
      <w:pPr>
        <w:spacing w:after="100"/>
      </w:pPr>
      <w:r>
        <w:t>Amendment requires valid institutional authority under the Constitution. Editorial clarification may improve expression, but a material change in principle must remain historically legible as an amendment rather than being introduced silently.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Noto Sans" w:hAnsi="Noto Sans"/>
        <w:sz w:val="16"/>
      </w:rPr>
      <w:t xml:space="preserve">ACTIVE  ·  Adopted 2 October 2026  ·  Page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/>
        <w:sz w:val="16"/>
      </w:rPr>
      <w:t>MIELOGOS  ·  FOUNDING PRINCIPLES  ·  v0.1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Noto Sans" w:hAnsi="Noto Sans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191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8282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Noto Sans" w:hAnsi="Noto Sans"/>
      <w:b/>
      <w:bCs/>
      <w:color w:val="3C3C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contextualSpacing/>
    </w:pPr>
    <w:rPr>
      <w:rFonts w:ascii="Noto Sans" w:hAnsi="Noto Sans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titutionQuote">
    <w:name w:val="Constitution Quote"/>
    <w:pPr>
      <w:spacing w:before="120" w:after="160"/>
      <w:ind w:left="504" w:right="360"/>
    </w:pPr>
    <w:rPr>
      <w:rFonts w:ascii="Noto Sans" w:hAnsi="Noto Sans"/>
      <w:b/>
      <w:color w:val="232323"/>
      <w:sz w:val="21"/>
    </w:rPr>
  </w:style>
  <w:style w:type="paragraph" w:customStyle="1" w:styleId="SmallNote">
    <w:name w:val="Small Note"/>
    <w:pPr>
      <w:spacing w:after="80"/>
    </w:pPr>
    <w:rPr>
      <w:rFonts w:ascii="Noto Sans" w:hAnsi="Noto Sans"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MIELOGOS Founding Principles</dc:title>
  <dc:subject>Foundational principles guiding Mielogos culture, interpretation, membership, governance, and public activity.</dc:subject>
  <dc:creator>MIELOGOS</dc:creator>
  <cp:keywords>MIELOGOS, Membership Charter, Symbiotic Authorship, ACTIVE, MIELOGOS-AR-002</cp:keywords>
  <dc:description>Adopted under MIELOGOS-AR-004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