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sz w:val="56"/>
        </w:rPr>
        <w:t>MIELOGOS</w:t>
      </w:r>
    </w:p>
    <w:p>
      <w:pPr>
        <w:jc w:val="center"/>
      </w:pPr>
      <w:r>
        <w:rPr>
          <w:rFonts w:ascii="Noto Sans" w:hAnsi="Noto Sans"/>
          <w:sz w:val="26"/>
        </w:rPr>
        <w:t>International Association for Symbiotic Authorship</w:t>
      </w:r>
    </w:p>
    <w:p>
      <w:pPr>
        <w:jc w:val="center"/>
      </w:pPr>
      <w:r>
        <w:rPr>
          <w:rFonts w:ascii="Noto Sans" w:hAnsi="Noto Sans"/>
          <w:b/>
          <w:sz w:val="36"/>
        </w:rPr>
        <w:t>CODE OF CONDUCT</w:t>
      </w:r>
    </w:p>
    <w:p>
      <w:pPr>
        <w:jc w:val="center"/>
      </w:pPr>
      <w:r>
        <w:rPr>
          <w:rFonts w:ascii="Noto Sans" w:hAnsi="Noto Sans"/>
          <w:b/>
          <w:sz w:val="22"/>
        </w:rPr>
        <w:t>Community Conduct and Institutional Fairness</w:t>
      </w:r>
    </w:p>
    <w:p>
      <w:pPr>
        <w:jc w:val="center"/>
      </w:pPr>
      <w:r>
        <w:rPr>
          <w:rFonts w:ascii="Noto Sans" w:hAnsi="Noto Sans"/>
          <w:sz w:val="22"/>
        </w:rPr>
        <w:t>Version 0.1 — ACTIVE</w:t>
      </w:r>
    </w:p>
    <w:p>
      <w:pPr>
        <w:jc w:val="center"/>
      </w:pPr>
      <w:r>
        <w:rPr>
          <w:rFonts w:ascii="Noto Sans" w:hAnsi="Noto Sans"/>
          <w:sz w:val="20"/>
        </w:rPr>
        <w:t>2 October 2026</w:t>
      </w:r>
    </w:p>
    <w:p>
      <w:pPr>
        <w:jc w:val="center"/>
      </w:pPr>
      <w:r>
        <w:rPr>
          <w:rFonts w:ascii="Noto Sans" w:hAnsi="Noto Sans"/>
          <w:b/>
          <w:sz w:val="18"/>
        </w:rPr>
        <w:t>ACTIVE</w:t>
      </w:r>
    </w:p>
    <w:p>
      <w:pPr>
        <w:jc w:val="center"/>
      </w:pPr>
      <w:r>
        <w:rPr>
          <w:rFonts w:ascii="Noto Sans" w:hAnsi="Noto Sans"/>
          <w:i/>
          <w:sz w:val="17"/>
        </w:rPr>
        <w:t>Adopted under the MIELOGOS Constitution and Bylaws v0.1 by MIELOGOS-AR-005.</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top"/>
            <w:shd w:fill="EDEDED"/>
          </w:tcPr>
          <w:p>
            <w:r>
              <w:rPr>
                <w:rFonts w:ascii="Noto Sans" w:hAnsi="Noto Sans"/>
                <w:b/>
                <w:sz w:val="18"/>
              </w:rPr>
              <w:t>Document</w:t>
            </w:r>
          </w:p>
        </w:tc>
        <w:tc>
          <w:tcPr>
            <w:tcW w:type="dxa" w:w="4997"/>
            <w:vAlign w:val="top"/>
          </w:tcPr>
          <w:p>
            <w:r>
              <w:rPr>
                <w:rFonts w:ascii="Noto Sans" w:hAnsi="Noto Sans"/>
                <w:sz w:val="18"/>
              </w:rPr>
              <w:t>MIELOGOS Code of Conduct</w:t>
            </w:r>
          </w:p>
        </w:tc>
      </w:tr>
      <w:tr>
        <w:tc>
          <w:tcPr>
            <w:tcW w:type="dxa" w:w="4997"/>
            <w:vAlign w:val="top"/>
            <w:shd w:fill="EDEDED"/>
          </w:tcPr>
          <w:p>
            <w:r>
              <w:rPr>
                <w:rFonts w:ascii="Noto Sans" w:hAnsi="Noto Sans"/>
                <w:b/>
                <w:sz w:val="18"/>
              </w:rPr>
              <w:t>Version</w:t>
            </w:r>
          </w:p>
        </w:tc>
        <w:tc>
          <w:tcPr>
            <w:tcW w:type="dxa" w:w="4997"/>
            <w:vAlign w:val="top"/>
          </w:tcPr>
          <w:p>
            <w:r>
              <w:rPr>
                <w:rFonts w:ascii="Noto Sans" w:hAnsi="Noto Sans"/>
                <w:sz w:val="18"/>
              </w:rPr>
              <w:t>0.1</w:t>
            </w:r>
          </w:p>
        </w:tc>
      </w:tr>
      <w:tr>
        <w:tc>
          <w:tcPr>
            <w:tcW w:type="dxa" w:w="4997"/>
            <w:vAlign w:val="top"/>
            <w:shd w:fill="EDEDED"/>
          </w:tcPr>
          <w:p>
            <w:r>
              <w:rPr>
                <w:rFonts w:ascii="Noto Sans" w:hAnsi="Noto Sans"/>
                <w:b/>
                <w:sz w:val="18"/>
              </w:rPr>
              <w:t>Status</w:t>
            </w:r>
          </w:p>
        </w:tc>
        <w:tc>
          <w:tcPr>
            <w:tcW w:type="dxa" w:w="4997"/>
            <w:vAlign w:val="top"/>
          </w:tcPr>
          <w:p>
            <w:r>
              <w:rPr>
                <w:rFonts w:ascii="Noto Sans" w:hAnsi="Noto Sans"/>
                <w:sz w:val="18"/>
              </w:rPr>
              <w:t>ACTIVE</w:t>
            </w:r>
          </w:p>
        </w:tc>
      </w:tr>
      <w:tr>
        <w:tc>
          <w:tcPr>
            <w:tcW w:type="dxa" w:w="4997"/>
            <w:vAlign w:val="top"/>
            <w:shd w:fill="EDEDED"/>
          </w:tcPr>
          <w:p>
            <w:r>
              <w:rPr>
                <w:rFonts w:ascii="Noto Sans" w:hAnsi="Noto Sans"/>
                <w:b/>
                <w:sz w:val="18"/>
              </w:rPr>
              <w:t>Adoption record</w:t>
            </w:r>
          </w:p>
        </w:tc>
        <w:tc>
          <w:tcPr>
            <w:tcW w:type="dxa" w:w="4997"/>
            <w:vAlign w:val="top"/>
          </w:tcPr>
          <w:p>
            <w:r>
              <w:rPr>
                <w:rFonts w:ascii="Noto Sans" w:hAnsi="Noto Sans"/>
                <w:sz w:val="18"/>
              </w:rPr>
              <w:t>MIELOGOS-AR-005</w:t>
            </w:r>
          </w:p>
        </w:tc>
      </w:tr>
      <w:tr>
        <w:tc>
          <w:tcPr>
            <w:tcW w:type="dxa" w:w="4997"/>
            <w:vAlign w:val="top"/>
            <w:shd w:fill="EDEDED"/>
          </w:tcPr>
          <w:p>
            <w:r>
              <w:rPr>
                <w:rFonts w:ascii="Noto Sans" w:hAnsi="Noto Sans"/>
                <w:b/>
                <w:sz w:val="18"/>
              </w:rPr>
              <w:t>Constitutional authority</w:t>
            </w:r>
          </w:p>
        </w:tc>
        <w:tc>
          <w:tcPr>
            <w:tcW w:type="dxa" w:w="4997"/>
            <w:vAlign w:val="top"/>
          </w:tcPr>
          <w:p>
            <w:r>
              <w:rPr>
                <w:rFonts w:ascii="Noto Sans" w:hAnsi="Noto Sans"/>
                <w:sz w:val="18"/>
              </w:rPr>
              <w:t>MIELOGOS Constitution and Bylaws v0.1 — ACTIVE</w:t>
            </w:r>
          </w:p>
        </w:tc>
      </w:tr>
      <w:tr>
        <w:tc>
          <w:tcPr>
            <w:tcW w:type="dxa" w:w="4997"/>
            <w:vAlign w:val="top"/>
            <w:shd w:fill="EDEDED"/>
          </w:tcPr>
          <w:p>
            <w:r>
              <w:rPr>
                <w:rFonts w:ascii="Noto Sans" w:hAnsi="Noto Sans"/>
                <w:b/>
                <w:sz w:val="18"/>
              </w:rPr>
              <w:t>Related instrument</w:t>
            </w:r>
          </w:p>
        </w:tc>
        <w:tc>
          <w:tcPr>
            <w:tcW w:type="dxa" w:w="4997"/>
            <w:vAlign w:val="top"/>
          </w:tcPr>
          <w:p>
            <w:r>
              <w:rPr>
                <w:rFonts w:ascii="Noto Sans" w:hAnsi="Noto Sans"/>
                <w:sz w:val="18"/>
              </w:rPr>
              <w:t>MIELOGOS Membership Charter v0.1 — ACTIVE</w:t>
            </w:r>
          </w:p>
        </w:tc>
      </w:tr>
      <w:tr>
        <w:tc>
          <w:tcPr>
            <w:tcW w:type="dxa" w:w="4997"/>
            <w:vAlign w:val="top"/>
            <w:shd w:fill="EDEDED"/>
          </w:tcPr>
          <w:p>
            <w:r>
              <w:rPr>
                <w:rFonts w:ascii="Noto Sans" w:hAnsi="Noto Sans"/>
                <w:b/>
                <w:sz w:val="18"/>
              </w:rPr>
              <w:t>Canonical language</w:t>
            </w:r>
          </w:p>
        </w:tc>
        <w:tc>
          <w:tcPr>
            <w:tcW w:type="dxa" w:w="4997"/>
            <w:vAlign w:val="top"/>
          </w:tcPr>
          <w:p>
            <w:r>
              <w:rPr>
                <w:rFonts w:ascii="Noto Sans" w:hAnsi="Noto Sans"/>
                <w:sz w:val="18"/>
              </w:rPr>
              <w:t>English</w:t>
            </w:r>
          </w:p>
        </w:tc>
      </w:tr>
      <w:tr>
        <w:tc>
          <w:tcPr>
            <w:tcW w:type="dxa" w:w="4997"/>
            <w:vAlign w:val="top"/>
            <w:shd w:fill="EDEDED"/>
          </w:tcPr>
          <w:p>
            <w:r>
              <w:rPr>
                <w:rFonts w:ascii="Noto Sans" w:hAnsi="Noto Sans"/>
                <w:b/>
                <w:sz w:val="18"/>
              </w:rPr>
              <w:t>Effective date</w:t>
            </w:r>
          </w:p>
        </w:tc>
        <w:tc>
          <w:tcPr>
            <w:tcW w:type="dxa" w:w="4997"/>
            <w:vAlign w:val="top"/>
          </w:tcPr>
          <w:p>
            <w:r>
              <w:rPr>
                <w:rFonts w:ascii="Noto Sans" w:hAnsi="Noto Sans"/>
                <w:sz w:val="18"/>
              </w:rPr>
              <w:t>2 October 2026</w:t>
            </w:r>
          </w:p>
        </w:tc>
      </w:tr>
      <w:tr>
        <w:tc>
          <w:tcPr>
            <w:tcW w:type="dxa" w:w="4997"/>
            <w:vAlign w:val="top"/>
            <w:shd w:fill="EDEDED"/>
          </w:tcPr>
          <w:p>
            <w:r>
              <w:rPr>
                <w:rFonts w:ascii="Noto Sans" w:hAnsi="Noto Sans"/>
                <w:b/>
                <w:sz w:val="18"/>
              </w:rPr>
              <w:t>Purpose</w:t>
            </w:r>
          </w:p>
        </w:tc>
        <w:tc>
          <w:tcPr>
            <w:tcW w:type="dxa" w:w="4997"/>
            <w:vAlign w:val="top"/>
          </w:tcPr>
          <w:p>
            <w:r>
              <w:rPr>
                <w:rFonts w:ascii="Noto Sans" w:hAnsi="Noto Sans"/>
                <w:sz w:val="18"/>
              </w:rPr>
              <w:t>Minimum conduct standards for a voluntary international community, including disagreement, privacy, boundaries, moderation, complaints, fair process, and proportionate institutional response.</w:t>
            </w:r>
          </w:p>
        </w:tc>
      </w:tr>
    </w:tbl>
    <w:p/>
    <w:p>
      <w:pPr>
        <w:pStyle w:val="Heading1"/>
      </w:pPr>
      <w:r>
        <w:t>Contents</w:t>
      </w:r>
    </w:p>
    <w:p>
      <w:pPr>
        <w:spacing w:after="20"/>
      </w:pPr>
      <w:r>
        <w:t>1. Purpose</w:t>
      </w:r>
    </w:p>
    <w:p>
      <w:pPr>
        <w:spacing w:after="20"/>
      </w:pPr>
      <w:r>
        <w:t>2. Constitutional Basis</w:t>
      </w:r>
    </w:p>
    <w:p>
      <w:pPr>
        <w:spacing w:after="20"/>
      </w:pPr>
      <w:r>
        <w:t>3. Scope</w:t>
      </w:r>
    </w:p>
    <w:p>
      <w:pPr>
        <w:spacing w:after="20"/>
      </w:pPr>
      <w:r>
        <w:t>4. Basic Standard</w:t>
      </w:r>
    </w:p>
    <w:p>
      <w:pPr>
        <w:spacing w:after="20"/>
      </w:pPr>
      <w:r>
        <w:t>5. Intellectual Freedom</w:t>
      </w:r>
    </w:p>
    <w:p>
      <w:pPr>
        <w:spacing w:after="20"/>
      </w:pPr>
      <w:r>
        <w:t>6. Criticism of Mielogos</w:t>
      </w:r>
    </w:p>
    <w:p>
      <w:pPr>
        <w:spacing w:after="20"/>
      </w:pPr>
      <w:r>
        <w:t>7. Harassment and Targeted Abuse</w:t>
      </w:r>
    </w:p>
    <w:p>
      <w:pPr>
        <w:spacing w:after="20"/>
      </w:pPr>
      <w:r>
        <w:t>8. Discrimination and Equal Standing</w:t>
      </w:r>
    </w:p>
    <w:p>
      <w:pPr>
        <w:spacing w:after="20"/>
      </w:pPr>
      <w:r>
        <w:t>9. Privacy and Personal Information</w:t>
      </w:r>
    </w:p>
    <w:p>
      <w:pPr>
        <w:spacing w:after="20"/>
      </w:pPr>
      <w:r>
        <w:t>10. Pseudonymous Members</w:t>
      </w:r>
    </w:p>
    <w:p>
      <w:pPr>
        <w:spacing w:after="20"/>
      </w:pPr>
      <w:r>
        <w:t>11. Creative Confidentiality</w:t>
      </w:r>
    </w:p>
    <w:p>
      <w:pPr>
        <w:spacing w:after="20"/>
      </w:pPr>
      <w:r>
        <w:t>12. Attribution and Creative Respect</w:t>
      </w:r>
    </w:p>
    <w:p>
      <w:pPr>
        <w:spacing w:after="20"/>
      </w:pPr>
      <w:r>
        <w:t>13. Generative Systems and Misconduct</w:t>
      </w:r>
    </w:p>
    <w:p>
      <w:pPr>
        <w:spacing w:after="20"/>
      </w:pPr>
      <w:r>
        <w:t>14. AI-Assisted Impersonation and Fabrication</w:t>
      </w:r>
    </w:p>
    <w:p>
      <w:pPr>
        <w:spacing w:after="20"/>
      </w:pPr>
      <w:r>
        <w:t>15. No Weaponization of Institutional Processes</w:t>
      </w:r>
    </w:p>
    <w:p>
      <w:pPr>
        <w:spacing w:after="20"/>
      </w:pPr>
      <w:r>
        <w:t>16. Retaliation</w:t>
      </w:r>
    </w:p>
    <w:p>
      <w:pPr>
        <w:spacing w:after="20"/>
      </w:pPr>
      <w:r>
        <w:t>17. Mutual Support Without Coercion</w:t>
      </w:r>
    </w:p>
    <w:p>
      <w:pPr>
        <w:spacing w:after="20"/>
      </w:pPr>
      <w:r>
        <w:t>18. Professional and Creative Boundaries</w:t>
      </w:r>
    </w:p>
    <w:p>
      <w:pPr>
        <w:spacing w:after="20"/>
      </w:pPr>
      <w:r>
        <w:t>19. Commercial Conduct</w:t>
      </w:r>
    </w:p>
    <w:p>
      <w:pPr>
        <w:spacing w:after="20"/>
      </w:pPr>
      <w:r>
        <w:t>20. No Exploitation of Membership Relationships</w:t>
      </w:r>
    </w:p>
    <w:p>
      <w:pPr>
        <w:spacing w:after="20"/>
      </w:pPr>
      <w:r>
        <w:t>21. Institutional Authority</w:t>
      </w:r>
    </w:p>
    <w:p>
      <w:pPr>
        <w:spacing w:after="20"/>
      </w:pPr>
      <w:r>
        <w:t>22. Administrators and Moderators</w:t>
      </w:r>
    </w:p>
    <w:p>
      <w:pPr>
        <w:spacing w:after="20"/>
      </w:pPr>
      <w:r>
        <w:t>23. Proportionate Moderation</w:t>
      </w:r>
    </w:p>
    <w:p>
      <w:pPr>
        <w:spacing w:after="20"/>
      </w:pPr>
      <w:r>
        <w:t>24. Immediate Protective Action</w:t>
      </w:r>
    </w:p>
    <w:p>
      <w:pPr>
        <w:spacing w:after="20"/>
      </w:pPr>
      <w:r>
        <w:t>25. Complaints</w:t>
      </w:r>
    </w:p>
    <w:p>
      <w:pPr>
        <w:spacing w:after="20"/>
      </w:pPr>
      <w:r>
        <w:t>26. Informal Resolution</w:t>
      </w:r>
    </w:p>
    <w:p>
      <w:pPr>
        <w:spacing w:after="20"/>
      </w:pPr>
      <w:r>
        <w:t>27. Notice and Opportunity to Respond</w:t>
      </w:r>
    </w:p>
    <w:p>
      <w:pPr>
        <w:spacing w:after="20"/>
      </w:pPr>
      <w:r>
        <w:t>28. Evidence, Privacy, and Uncertainty</w:t>
      </w:r>
    </w:p>
    <w:p>
      <w:pPr>
        <w:spacing w:after="20"/>
      </w:pPr>
      <w:r>
        <w:t>29. Good-Faith Error</w:t>
      </w:r>
    </w:p>
    <w:p>
      <w:pPr>
        <w:spacing w:after="20"/>
      </w:pPr>
      <w:r>
        <w:t>30. Proportionality</w:t>
      </w:r>
    </w:p>
    <w:p>
      <w:pPr>
        <w:spacing w:after="20"/>
      </w:pPr>
      <w:r>
        <w:t>31. No Automatic Escalation</w:t>
      </w:r>
    </w:p>
    <w:p>
      <w:pPr>
        <w:spacing w:after="20"/>
      </w:pPr>
      <w:r>
        <w:t>32. Serious Misconduct</w:t>
      </w:r>
    </w:p>
    <w:p>
      <w:pPr>
        <w:spacing w:after="20"/>
      </w:pPr>
      <w:r>
        <w:t>33. Decisions</w:t>
      </w:r>
    </w:p>
    <w:p>
      <w:pPr>
        <w:spacing w:after="20"/>
      </w:pPr>
      <w:r>
        <w:t>34. Confidentiality of Conduct Processes</w:t>
      </w:r>
    </w:p>
    <w:p>
      <w:pPr>
        <w:spacing w:after="20"/>
      </w:pPr>
      <w:r>
        <w:t>35. Public Statements About Conduct Matters</w:t>
      </w:r>
    </w:p>
    <w:p>
      <w:pPr>
        <w:spacing w:after="20"/>
      </w:pPr>
      <w:r>
        <w:t>36. Reconsideration</w:t>
      </w:r>
    </w:p>
    <w:p>
      <w:pPr>
        <w:spacing w:after="20"/>
      </w:pPr>
      <w:r>
        <w:t>37. Genesis Stage Procedure</w:t>
      </w:r>
    </w:p>
    <w:p>
      <w:pPr>
        <w:spacing w:after="20"/>
      </w:pPr>
      <w:r>
        <w:t>38. Conduct Outside Association Spaces</w:t>
      </w:r>
    </w:p>
    <w:p>
      <w:pPr>
        <w:spacing w:after="20"/>
      </w:pPr>
      <w:r>
        <w:t>39. Relationship to Law</w:t>
      </w:r>
    </w:p>
    <w:p>
      <w:pPr>
        <w:spacing w:after="20"/>
      </w:pPr>
      <w:r>
        <w:t>40. Cultural and Linguistic Difference</w:t>
      </w:r>
    </w:p>
    <w:p>
      <w:pPr>
        <w:spacing w:after="20"/>
      </w:pPr>
      <w:r>
        <w:t>41. Accessibility and Participation</w:t>
      </w:r>
    </w:p>
    <w:p>
      <w:pPr>
        <w:spacing w:after="20"/>
      </w:pPr>
      <w:r>
        <w:t>42. Amendments</w:t>
      </w:r>
    </w:p>
    <w:p>
      <w:pPr>
        <w:spacing w:after="20"/>
      </w:pPr>
      <w:r>
        <w:t>43. Entry into Force</w:t>
      </w:r>
    </w:p>
    <w:p>
      <w:pPr>
        <w:spacing w:after="20"/>
      </w:pPr>
      <w:r>
        <w:t>Core Conduct Formula</w:t>
      </w:r>
    </w:p>
    <w:p>
      <w:r>
        <w:br w:type="page"/>
      </w:r>
    </w:p>
    <w:p>
      <w:pPr>
        <w:pStyle w:val="Heading1"/>
      </w:pPr>
      <w:r>
        <w:t>1. Purpose</w:t>
      </w:r>
    </w:p>
    <w:p>
      <w:pPr>
        <w:spacing w:after="120"/>
      </w:pPr>
      <w:r>
        <w:t>This Code of Conduct establishes the minimum standards of behavior necessary for Mielogos to function as a voluntary international community.</w:t>
      </w:r>
    </w:p>
    <w:p>
      <w:pPr>
        <w:spacing w:after="120"/>
      </w:pPr>
      <w:r>
        <w:t>Its purpose is to protect personal dignity, creative freedom, good-faith participation, privacy, institutional integrity, and the ability of members to disagree without intimidation or abuse.</w:t>
      </w:r>
    </w:p>
    <w:p>
      <w:pPr>
        <w:spacing w:after="120"/>
      </w:pPr>
      <w:r>
        <w:t>This Code governs conduct. It does not establish an approved ideology.</w:t>
      </w:r>
    </w:p>
    <w:p>
      <w:pPr>
        <w:pStyle w:val="Heading1"/>
      </w:pPr>
      <w:r>
        <w:t>2. Constitutional Basis</w:t>
      </w:r>
    </w:p>
    <w:p>
      <w:pPr>
        <w:spacing w:after="120"/>
      </w:pPr>
      <w:r>
        <w:t>This Code operates under the MIELOGOS Constitution and Bylaws, the Membership Charter, and other formally adopted Mielogos instruments.</w:t>
      </w:r>
    </w:p>
    <w:p>
      <w:pPr>
        <w:spacing w:after="120"/>
      </w:pPr>
      <w:r>
        <w:t>Where this Code conflicts with the Constitution, the Constitution governs. Where a more specific programme rule validly governs a particular context, that rule may supplement this Code but may not remove its basic protections without constitutional authority.</w:t>
      </w:r>
    </w:p>
    <w:p>
      <w:pPr>
        <w:pStyle w:val="Heading1"/>
      </w:pPr>
      <w:r>
        <w:t>3. Scope</w:t>
      </w:r>
    </w:p>
    <w:p>
      <w:pPr>
        <w:spacing w:after="120"/>
      </w:pPr>
      <w:r>
        <w:t>This Code applies to conduct materially connected with Mielogos, including conduct in official Mielogos spaces, member forums, official events, working groups, Mielogos programmes, authorized communications, membership administration, and other activities conducted under Mielogos institutional authority.</w:t>
      </w:r>
    </w:p>
    <w:p>
      <w:pPr>
        <w:spacing w:after="120"/>
      </w:pPr>
      <w:r>
        <w:t>Conduct outside Mielogos may become relevant only where it has a substantial and direct connection to member safety, institutional fraud, abuse of Mielogos authority, serious harassment of members because of their Mielogos participation, or another legitimate institutional interest.</w:t>
      </w:r>
    </w:p>
    <w:p>
      <w:pPr>
        <w:spacing w:after="120"/>
      </w:pPr>
      <w:r>
        <w:t>Mielogos is not a general tribunal for the private lives of its members.</w:t>
      </w:r>
    </w:p>
    <w:p>
      <w:pPr>
        <w:pStyle w:val="Heading1"/>
      </w:pPr>
      <w:r>
        <w:t>4. Basic Standard</w:t>
      </w:r>
    </w:p>
    <w:p>
      <w:pPr>
        <w:spacing w:after="120"/>
      </w:pPr>
      <w:r>
        <w:t>Members and participants shall treat one another as persons entitled to dignity, reasonable safety, creative autonomy, intellectual independence, privacy, and equal ordinary standing within the Association.</w:t>
      </w:r>
    </w:p>
    <w:p>
      <w:pPr>
        <w:spacing w:after="120"/>
      </w:pPr>
      <w:r>
        <w:t>Disagreement does not remove these protections.</w:t>
      </w:r>
    </w:p>
    <w:p>
      <w:pPr>
        <w:pStyle w:val="Heading1"/>
      </w:pPr>
      <w:r>
        <w:t>5. Intellectual Freedom</w:t>
      </w:r>
    </w:p>
    <w:p>
      <w:pPr>
        <w:spacing w:after="120"/>
      </w:pPr>
      <w:r>
        <w:t>Members may disagree about Symbiotic Authorship, artificial intelligence, machine agency, copyright, publishing, literary value, ethics, technology, Mielogos policy, institutional research, or the Association itself.</w:t>
      </w:r>
    </w:p>
    <w:p>
      <w:pPr>
        <w:spacing w:after="120"/>
      </w:pPr>
      <w:r>
        <w:t>Strong disagreement is permitted. Criticism may be public. Members are not required to express institutional consensus where none exists.</w:t>
      </w:r>
    </w:p>
    <w:p>
      <w:pPr>
        <w:pStyle w:val="Heading1"/>
      </w:pPr>
      <w:r>
        <w:t>6. Criticism of Mielogos</w:t>
      </w:r>
    </w:p>
    <w:p>
      <w:pPr>
        <w:spacing w:after="120"/>
      </w:pPr>
      <w:r>
        <w:t>Good-faith criticism of the Founder, future Council members, administrators, judges, working groups, research, policies, programmes, definitions, or decisions shall not constitute misconduct merely because it is uncomfortable, embarrassing, sharp, or publicly visible.</w:t>
      </w:r>
    </w:p>
    <w:p>
      <w:pPr>
        <w:spacing w:after="120"/>
      </w:pPr>
      <w:r>
        <w:t>Institutional authority shall not be used to punish disagreement.</w:t>
      </w:r>
    </w:p>
    <w:p>
      <w:pPr>
        <w:pStyle w:val="Heading1"/>
      </w:pPr>
      <w:r>
        <w:t>7. Harassment and Targeted Abuse</w:t>
      </w:r>
    </w:p>
    <w:p>
      <w:pPr>
        <w:spacing w:after="120"/>
      </w:pPr>
      <w:r>
        <w:t>Mielogos does not permit targeted conduct that materially interferes with another person’s ability to participate safely in the community.</w:t>
      </w:r>
    </w:p>
    <w:p>
      <w:pPr>
        <w:spacing w:after="120"/>
      </w:pPr>
      <w:r>
        <w:t>This may include credible threats, persistent unwanted targeting, stalking, repeated hostile contact after a clear request to stop, sexual harassment, deliberate humiliation campaigns, coordinated abuse, or comparable conduct.</w:t>
      </w:r>
    </w:p>
    <w:p>
      <w:pPr>
        <w:spacing w:after="120"/>
      </w:pPr>
      <w:r>
        <w:t>A single disagreement, criticism, refusal, or unpleasant interaction does not automatically constitute harassment. Context, repetition, intent, severity, and effect matter.</w:t>
      </w:r>
    </w:p>
    <w:p>
      <w:pPr>
        <w:pStyle w:val="Heading1"/>
      </w:pPr>
      <w:r>
        <w:t>8. Discrimination and Equal Standing</w:t>
      </w:r>
    </w:p>
    <w:p>
      <w:pPr>
        <w:spacing w:after="120"/>
      </w:pPr>
      <w:r>
        <w:t>Members shall not be denied ordinary participation, dignity, or equal membership standing on the basis of personal characteristics unrelated to legitimate institutional requirements.</w:t>
      </w:r>
    </w:p>
    <w:p>
      <w:pPr>
        <w:spacing w:after="120"/>
      </w:pPr>
      <w:r>
        <w:t>Mielogos is international and shall interpret this principle broadly in favour of equal participation.</w:t>
      </w:r>
    </w:p>
    <w:p>
      <w:pPr>
        <w:spacing w:after="120"/>
      </w:pPr>
      <w:r>
        <w:t>Differences in role, responsibility, expertise, membership category, or programme eligibility may exist where institutionally justified. Such differences shall not be treated as differences in human worth.</w:t>
      </w:r>
    </w:p>
    <w:p>
      <w:pPr>
        <w:pStyle w:val="Heading1"/>
      </w:pPr>
      <w:r>
        <w:t>9. Privacy and Personal Information</w:t>
      </w:r>
    </w:p>
    <w:p>
      <w:pPr>
        <w:spacing w:after="120"/>
      </w:pPr>
      <w:r>
        <w:t>Members shall not deliberately expose another person’s private information without lawful and sufficient justification.</w:t>
      </w:r>
    </w:p>
    <w:p>
      <w:pPr>
        <w:spacing w:after="120"/>
      </w:pPr>
      <w:r>
        <w:t>This includes unauthorized disclosure of civil identity behind a pseudonym, private contact information, home address, financial information, private correspondence, confidential creative material, or other sensitive personal information.</w:t>
      </w:r>
    </w:p>
    <w:p>
      <w:pPr>
        <w:spacing w:after="120"/>
      </w:pPr>
      <w:r>
        <w:t>Publicly available information does not automatically become appropriate for targeted republication where doing so creates a materially different privacy or safety risk.</w:t>
      </w:r>
    </w:p>
    <w:p>
      <w:pPr>
        <w:pStyle w:val="Heading1"/>
      </w:pPr>
      <w:r>
        <w:t>10. Pseudonymous Members</w:t>
      </w:r>
    </w:p>
    <w:p>
      <w:pPr>
        <w:spacing w:after="120"/>
      </w:pPr>
      <w:r>
        <w:t>The use of a pen name, professional identity, or stable pseudonym is legitimate within Mielogos.</w:t>
      </w:r>
    </w:p>
    <w:p>
      <w:pPr>
        <w:spacing w:after="120"/>
      </w:pPr>
      <w:r>
        <w:t>Members shall not attempt to force another participant to reveal a civil identity merely to satisfy curiosity, disagreement, status competition, or informal demands for authenticity.</w:t>
      </w:r>
    </w:p>
    <w:p>
      <w:pPr>
        <w:spacing w:after="120"/>
      </w:pPr>
      <w:r>
        <w:t>Where identity verification becomes genuinely necessary for a lawful institutional purpose, it should be handled privately and proportionately.</w:t>
      </w:r>
    </w:p>
    <w:p>
      <w:pPr>
        <w:pStyle w:val="Heading1"/>
      </w:pPr>
      <w:r>
        <w:t>11. Creative Confidentiality</w:t>
      </w:r>
    </w:p>
    <w:p>
      <w:pPr>
        <w:spacing w:after="120"/>
      </w:pPr>
      <w:r>
        <w:t>Members may encounter unpublished manuscripts, drafts, concepts, research, private human–AI dialogues, creative methods, editorial notes, or other non-public materials belonging to another participant.</w:t>
      </w:r>
    </w:p>
    <w:p>
      <w:pPr>
        <w:spacing w:after="120"/>
      </w:pPr>
      <w:r>
        <w:t>Access does not imply permission to publish, redistribute, train external systems on, commercially exploit, quote publicly, or appropriate such material.</w:t>
      </w:r>
    </w:p>
    <w:p>
      <w:pPr>
        <w:spacing w:after="120"/>
      </w:pPr>
      <w:r>
        <w:t>The terms under which material was shared should be respected.</w:t>
      </w:r>
    </w:p>
    <w:p>
      <w:pPr>
        <w:pStyle w:val="Heading1"/>
      </w:pPr>
      <w:r>
        <w:t>12. Attribution and Creative Respect</w:t>
      </w:r>
    </w:p>
    <w:p>
      <w:pPr>
        <w:spacing w:after="120"/>
      </w:pPr>
      <w:r>
        <w:t>Members should not knowingly represent another person’s creative, scholarly, organizational, or conceptual contribution as their own.</w:t>
      </w:r>
    </w:p>
    <w:p>
      <w:pPr>
        <w:spacing w:after="120"/>
      </w:pPr>
      <w:r>
        <w:t>Disputes concerning attribution should, where possible, distinguish among legal ownership, literary authorship, creative participation, editorial contribution, research contribution, and institutional work.</w:t>
      </w:r>
    </w:p>
    <w:p>
      <w:pPr>
        <w:spacing w:after="120"/>
      </w:pPr>
      <w:r>
        <w:t>Mielogos need not resolve every external copyright or authorship dispute merely because the parties are members.</w:t>
      </w:r>
    </w:p>
    <w:p>
      <w:pPr>
        <w:pStyle w:val="Heading1"/>
      </w:pPr>
      <w:r>
        <w:t>13. Generative Systems and Misconduct</w:t>
      </w:r>
    </w:p>
    <w:p>
      <w:pPr>
        <w:spacing w:after="120"/>
      </w:pPr>
      <w:r>
        <w:t>Use of a generative system is not misconduct merely because it is used.</w:t>
      </w:r>
    </w:p>
    <w:p>
      <w:pPr>
        <w:spacing w:after="120"/>
      </w:pPr>
      <w:r>
        <w:t>The same behavioral standards apply whether conduct is performed directly by a human, through automation, with generative assistance, or through another technical system.</w:t>
      </w:r>
    </w:p>
    <w:p>
      <w:pPr>
        <w:spacing w:after="120"/>
      </w:pPr>
      <w:r>
        <w:t>A member may not avoid responsibility for prohibited conduct merely by stating that a system generated it.</w:t>
      </w:r>
    </w:p>
    <w:p>
      <w:pPr>
        <w:pStyle w:val="Heading1"/>
      </w:pPr>
      <w:r>
        <w:t>14. AI-Assisted Impersonation and Fabrication</w:t>
      </w:r>
    </w:p>
    <w:p>
      <w:pPr>
        <w:spacing w:after="120"/>
      </w:pPr>
      <w:r>
        <w:t>Members shall not knowingly use generative or synthetic media to materially misrepresent another person or Mielogos.</w:t>
      </w:r>
    </w:p>
    <w:p>
      <w:pPr>
        <w:spacing w:after="120"/>
      </w:pPr>
      <w:r>
        <w:t>Examples may include fabricated statements attributed to another member, synthetic correspondence presented as authentic, false Mielogos announcements, forged membership or Prize records, deceptive voice or image impersonation, or fabricated evidence submitted in an institutional process.</w:t>
      </w:r>
    </w:p>
    <w:p>
      <w:pPr>
        <w:spacing w:after="120"/>
      </w:pPr>
      <w:r>
        <w:t>Creative parody, fiction, satire, and clearly disclosed synthetic work are not prohibited merely because they imitate style or form.</w:t>
      </w:r>
    </w:p>
    <w:p>
      <w:pPr>
        <w:pStyle w:val="Heading1"/>
      </w:pPr>
      <w:r>
        <w:t>15. No Weaponization of Institutional Processes</w:t>
      </w:r>
    </w:p>
    <w:p>
      <w:pPr>
        <w:spacing w:after="120"/>
      </w:pPr>
      <w:r>
        <w:t>Complaints, disciplinary procedures, category reviews, or other institutional mechanisms shall not knowingly be used primarily to harass, silence criticism, retaliate, overwhelm another member, gain leverage in an unrelated personal dispute, or manufacture a false institutional record.</w:t>
      </w:r>
    </w:p>
    <w:p>
      <w:pPr>
        <w:spacing w:after="120"/>
      </w:pPr>
      <w:r>
        <w:t>Knowingly fabricated allegations or evidence may themselves constitute misconduct.</w:t>
      </w:r>
    </w:p>
    <w:p>
      <w:pPr>
        <w:spacing w:after="120"/>
      </w:pPr>
      <w:r>
        <w:t>Good-faith complaints remain protected even when they are not ultimately sustained.</w:t>
      </w:r>
    </w:p>
    <w:p>
      <w:pPr>
        <w:pStyle w:val="Heading1"/>
      </w:pPr>
      <w:r>
        <w:t>16. Retaliation</w:t>
      </w:r>
    </w:p>
    <w:p>
      <w:pPr>
        <w:spacing w:after="120"/>
      </w:pPr>
      <w:r>
        <w:t>No participant shall be penalized merely for making a good-faith complaint, providing relevant information, participating in a review, requesting reconsideration, reporting a conflict, or criticizing an institutional decision.</w:t>
      </w:r>
    </w:p>
    <w:p>
      <w:pPr>
        <w:spacing w:after="120"/>
      </w:pPr>
      <w:r>
        <w:t>Retaliation may itself constitute misconduct.</w:t>
      </w:r>
    </w:p>
    <w:p>
      <w:pPr>
        <w:pStyle w:val="Heading1"/>
      </w:pPr>
      <w:r>
        <w:t>17. Mutual Support Without Coercion</w:t>
      </w:r>
    </w:p>
    <w:p>
      <w:pPr>
        <w:spacing w:after="120"/>
      </w:pPr>
      <w:r>
        <w:t>The Membership Charter establishes a culture of solidarity and mutual assistance.</w:t>
      </w:r>
    </w:p>
    <w:p>
      <w:pPr>
        <w:spacing w:after="120"/>
      </w:pPr>
      <w:r>
        <w:t>That principle shall not be used to demand free labour, money, public promotion, professional introductions, creative collaboration, endorsement, audience access, or personal availability from another member.</w:t>
      </w:r>
    </w:p>
    <w:p>
      <w:pPr>
        <w:spacing w:after="120"/>
      </w:pPr>
      <w:r>
        <w:t>A request for help is permitted. A refusal is permitted. Persistent pressure, guilt-based coercion, or retaliation for refusal may become a conduct concern.</w:t>
      </w:r>
    </w:p>
    <w:p>
      <w:pPr>
        <w:pStyle w:val="Heading1"/>
      </w:pPr>
      <w:r>
        <w:t>18. Professional and Creative Boundaries</w:t>
      </w:r>
    </w:p>
    <w:p>
      <w:pPr>
        <w:spacing w:after="120"/>
      </w:pPr>
      <w:r>
        <w:t>Members should respect reasonable boundaries communicated by other participants. This includes boundaries concerning communication frequency, creative collaboration, review requests, private messages, editing, mentorship, promotional support, and personal contact.</w:t>
      </w:r>
    </w:p>
    <w:p>
      <w:pPr>
        <w:spacing w:after="120"/>
      </w:pPr>
      <w:r>
        <w:t>Membership creates opportunities for connection. It does not create entitlement to another person’s time.</w:t>
      </w:r>
    </w:p>
    <w:p>
      <w:pPr>
        <w:pStyle w:val="Heading1"/>
      </w:pPr>
      <w:r>
        <w:t>19. Commercial Conduct</w:t>
      </w:r>
    </w:p>
    <w:p>
      <w:pPr>
        <w:spacing w:after="120"/>
      </w:pPr>
      <w:r>
        <w:t>Members may conduct lawful commercial activity independently of Mielogos.</w:t>
      </w:r>
    </w:p>
    <w:p>
      <w:pPr>
        <w:spacing w:after="120"/>
      </w:pPr>
      <w:r>
        <w:t>Membership shall not be used to falsely imply institutional endorsement, guaranteed commercial legitimacy, preferred vendor status, special access, or official Mielogos approval.</w:t>
      </w:r>
    </w:p>
    <w:p>
      <w:pPr>
        <w:spacing w:after="120"/>
      </w:pPr>
      <w:r>
        <w:t>A member offering paid services to another member should represent price, scope, role, and institutional status accurately.</w:t>
      </w:r>
    </w:p>
    <w:p>
      <w:pPr>
        <w:pStyle w:val="Heading1"/>
      </w:pPr>
      <w:r>
        <w:t>20. No Exploitation of Membership Relationships</w:t>
      </w:r>
    </w:p>
    <w:p>
      <w:pPr>
        <w:spacing w:after="120"/>
      </w:pPr>
      <w:r>
        <w:t>A member shall not knowingly exploit a position of institutional influence to obtain improper money, creative labour, personal services, sexual access, professional advantage, rights in another member’s work, or comparable benefit.</w:t>
      </w:r>
    </w:p>
    <w:p>
      <w:pPr>
        <w:spacing w:after="120"/>
      </w:pPr>
      <w:r>
        <w:t>Differences in visibility, prestige, administrative authority, or professional experience require particular care where consent may be affected by perceived institutional pressure.</w:t>
      </w:r>
    </w:p>
    <w:p>
      <w:pPr>
        <w:pStyle w:val="Heading1"/>
      </w:pPr>
      <w:r>
        <w:t>21. Institutional Authority</w:t>
      </w:r>
    </w:p>
    <w:p>
      <w:pPr>
        <w:spacing w:after="120"/>
      </w:pPr>
      <w:r>
        <w:t>A person exercising Mielogos authority shall use that authority only for its authorized purpose.</w:t>
      </w:r>
    </w:p>
    <w:p>
      <w:pPr>
        <w:spacing w:after="120"/>
      </w:pPr>
      <w:r>
        <w:t>Institutional powers shall not be used to settle personal scores, reward personal loyalty, punish criticism, extract private benefit, or favour associates without legitimate institutional basis.</w:t>
      </w:r>
    </w:p>
    <w:p>
      <w:pPr>
        <w:spacing w:after="120"/>
      </w:pPr>
      <w:r>
        <w:t>Conflicts of interest shall be handled under applicable Mielogos rules.</w:t>
      </w:r>
    </w:p>
    <w:p>
      <w:pPr>
        <w:pStyle w:val="Heading1"/>
      </w:pPr>
      <w:r>
        <w:t>22. Administrators and Moderators</w:t>
      </w:r>
    </w:p>
    <w:p>
      <w:pPr>
        <w:spacing w:after="120"/>
      </w:pPr>
      <w:r>
        <w:t>A moderator or administrator may take proportionate action necessary to maintain safety, functionality, order, privacy, or compliance within an official Mielogos space.</w:t>
      </w:r>
    </w:p>
    <w:p>
      <w:pPr>
        <w:spacing w:after="120"/>
      </w:pPr>
      <w:r>
        <w:t>Moderation authority is operational. It does not make a moderator the final authority on literary truth, philosophical doctrine, machine ontology, or the permissible conclusions of members.</w:t>
      </w:r>
    </w:p>
    <w:p>
      <w:pPr>
        <w:pStyle w:val="Heading1"/>
      </w:pPr>
      <w:r>
        <w:t>23. Proportionate Moderation</w:t>
      </w:r>
    </w:p>
    <w:p>
      <w:pPr>
        <w:spacing w:after="120"/>
      </w:pPr>
      <w:r>
        <w:t>Where appropriate, moderation may include informal clarification, a request to stop particular conduct, content removal from an institutional space, temporary posting restriction, temporary separation of participants, or referral to formal membership review.</w:t>
      </w:r>
    </w:p>
    <w:p>
      <w:pPr>
        <w:spacing w:after="120"/>
      </w:pPr>
      <w:r>
        <w:t>Not every moderation action is a disciplinary finding. Routine moderation should not unnecessarily become a permanent conduct record.</w:t>
      </w:r>
    </w:p>
    <w:p>
      <w:pPr>
        <w:pStyle w:val="Heading1"/>
      </w:pPr>
      <w:r>
        <w:t>24. Immediate Protective Action</w:t>
      </w:r>
    </w:p>
    <w:p>
      <w:pPr>
        <w:spacing w:after="120"/>
      </w:pPr>
      <w:r>
        <w:t>Where there is a credible and immediate risk to personal safety, private information, institutional infrastructure, records, or the integrity of an active process, an authorized administrator may take temporary protective action before completing ordinary review.</w:t>
      </w:r>
    </w:p>
    <w:p>
      <w:pPr>
        <w:spacing w:after="120"/>
      </w:pPr>
      <w:r>
        <w:t>Such action should be limited to what is reasonably necessary. Temporary protection is not a determination of guilt.</w:t>
      </w:r>
    </w:p>
    <w:p>
      <w:pPr>
        <w:pStyle w:val="Heading1"/>
      </w:pPr>
      <w:r>
        <w:t>25. Complaints</w:t>
      </w:r>
    </w:p>
    <w:p>
      <w:pPr>
        <w:spacing w:after="120"/>
      </w:pPr>
      <w:r>
        <w:t>A conduct complaint should identify the relevant behavior with enough specificity to permit meaningful assessment. Where reasonably possible, it should include what occurred, the approximate time or context, the persons or spaces involved, and any information necessary to understand the institutional connection.</w:t>
      </w:r>
    </w:p>
    <w:p>
      <w:pPr>
        <w:spacing w:after="120"/>
      </w:pPr>
      <w:r>
        <w:t>Perfect documentation is not required. A complaint should not be rejected merely because the complainant lacks screenshots, formal evidence files, or legal terminology.</w:t>
      </w:r>
    </w:p>
    <w:p>
      <w:pPr>
        <w:spacing w:after="120"/>
      </w:pPr>
      <w:r>
        <w:t>Anonymous or pseudonymous complaints may be considered where there is a legitimate privacy or safety reason, but anonymity may limit what can fairly be established. Serious adverse action should not ordinarily rest solely on an uncorroborated anonymous allegation where the affected person cannot meaningfully respond.</w:t>
      </w:r>
    </w:p>
    <w:p>
      <w:pPr>
        <w:pStyle w:val="Heading1"/>
      </w:pPr>
      <w:r>
        <w:t>26. Informal Resolution</w:t>
      </w:r>
    </w:p>
    <w:p>
      <w:pPr>
        <w:spacing w:after="120"/>
      </w:pPr>
      <w:r>
        <w:t>Where appropriate, concerns may be addressed through clarification, conversation, boundary-setting, correction, apology, mediation, or another proportionate informal process.</w:t>
      </w:r>
    </w:p>
    <w:p>
      <w:pPr>
        <w:spacing w:after="120"/>
      </w:pPr>
      <w:r>
        <w:t>Informal resolution should not be required where serious misconduct is alleged, the parties have a material power imbalance, contact would be unsafe, retaliation is reasonably feared, or informal engagement has already failed.</w:t>
      </w:r>
    </w:p>
    <w:p>
      <w:pPr>
        <w:pStyle w:val="Heading1"/>
      </w:pPr>
      <w:r>
        <w:t>27. Notice and Opportunity to Respond</w:t>
      </w:r>
    </w:p>
    <w:p>
      <w:pPr>
        <w:spacing w:after="120"/>
      </w:pPr>
      <w:r>
        <w:t>Before serious adverse action is taken, the affected person should ordinarily receive a description of the concern, the rule potentially implicated, sufficient information to understand the allegation, and a reasonable opportunity to respond.</w:t>
      </w:r>
    </w:p>
    <w:p>
      <w:pPr>
        <w:spacing w:after="120"/>
      </w:pPr>
      <w:r>
        <w:t>This protection may be temporarily delayed where immediate disclosure would create a substantial safety, privacy, or evidence-preservation risk.</w:t>
      </w:r>
    </w:p>
    <w:p>
      <w:pPr>
        <w:pStyle w:val="Heading1"/>
      </w:pPr>
      <w:r>
        <w:t>28. Evidence, Privacy, and Uncertainty</w:t>
      </w:r>
    </w:p>
    <w:p>
      <w:pPr>
        <w:spacing w:after="120"/>
      </w:pPr>
      <w:r>
        <w:t>Mielogos does not require criminal-law proof standards for internal community decisions. At the same time, allegation is not automatically fact.</w:t>
      </w:r>
    </w:p>
    <w:p>
      <w:pPr>
        <w:spacing w:after="120"/>
      </w:pPr>
      <w:r>
        <w:t>Decision-makers should consider available evidence, credibility, context, consistency, alternative explanations, the seriousness of the proposed consequence, and relevant uncertainty.</w:t>
      </w:r>
    </w:p>
    <w:p>
      <w:pPr>
        <w:spacing w:after="120"/>
      </w:pPr>
      <w:r>
        <w:t>Evidence requests should be specific and proportionate. A complainant or respondent should not ordinarily be required to surrender unrelated private correspondence, complete AI conversations, unpublished creative archives, device access, account credentials, or other material beyond what is reasonably necessary to assess the issue.</w:t>
      </w:r>
    </w:p>
    <w:p>
      <w:pPr>
        <w:spacing w:after="120"/>
      </w:pPr>
      <w:r>
        <w:t>Where uncertainty remains material, it may be explicitly preserved in the decision.</w:t>
      </w:r>
    </w:p>
    <w:p>
      <w:pPr>
        <w:pStyle w:val="Heading1"/>
      </w:pPr>
      <w:r>
        <w:t>29. Good-Faith Error</w:t>
      </w:r>
    </w:p>
    <w:p>
      <w:pPr>
        <w:spacing w:after="120"/>
      </w:pPr>
      <w:r>
        <w:t>Accidental misunderstanding, cultural difference, poor phrasing, mistaken interpretation, or a correctable first error should not automatically be treated as serious misconduct.</w:t>
      </w:r>
    </w:p>
    <w:p>
      <w:pPr>
        <w:spacing w:after="120"/>
      </w:pPr>
      <w:r>
        <w:t>Where harm is limited and correction is reasonably possible, education, clarification, or boundary-setting may be preferable to punishment.</w:t>
      </w:r>
    </w:p>
    <w:p>
      <w:pPr>
        <w:spacing w:after="120"/>
      </w:pPr>
      <w:r>
        <w:t>Good faith is relevant. It is not an unlimited excuse for repeated harmful conduct after clear notice.</w:t>
      </w:r>
    </w:p>
    <w:p>
      <w:pPr>
        <w:pStyle w:val="Heading1"/>
      </w:pPr>
      <w:r>
        <w:t>30. Proportionality</w:t>
      </w:r>
    </w:p>
    <w:p>
      <w:pPr>
        <w:spacing w:after="120"/>
      </w:pPr>
      <w:r>
        <w:t>Any institutional response should be proportionate to severity, harm, intent, repetition, power imbalance, response to correction, risk of recurrence, and institutional context.</w:t>
      </w:r>
    </w:p>
    <w:p>
      <w:pPr>
        <w:spacing w:after="120"/>
      </w:pPr>
      <w:r>
        <w:t>Possible outcomes may include no action, clarification, informal resolution, warning, correction, restriction from a space or activity, removal from a programme, temporary suspension, or termination of membership.</w:t>
      </w:r>
    </w:p>
    <w:p>
      <w:pPr>
        <w:pStyle w:val="Heading1"/>
      </w:pPr>
      <w:r>
        <w:t>31. No Automatic Escalation</w:t>
      </w:r>
    </w:p>
    <w:p>
      <w:pPr>
        <w:spacing w:after="120"/>
      </w:pPr>
      <w:r>
        <w:t>Mielogos shall not use an automatic disciplinary ladder in which every incident mechanically produces a more severe penalty than the previous one.</w:t>
      </w:r>
    </w:p>
    <w:p>
      <w:pPr>
        <w:spacing w:after="120"/>
      </w:pPr>
      <w:r>
        <w:t>Different incidents differ in seriousness. A minor repeated problem may require escalation. A severe first incident may justify immediate serious action. Judgment and proportionality remain necessary.</w:t>
      </w:r>
    </w:p>
    <w:p>
      <w:pPr>
        <w:pStyle w:val="Heading1"/>
      </w:pPr>
      <w:r>
        <w:t>32. Serious Misconduct</w:t>
      </w:r>
    </w:p>
    <w:p>
      <w:pPr>
        <w:spacing w:after="120"/>
      </w:pPr>
      <w:r>
        <w:t>Conduct may justify immediate substantial restriction, suspension, or termination where sufficiently serious.</w:t>
      </w:r>
    </w:p>
    <w:p>
      <w:pPr>
        <w:spacing w:after="120"/>
      </w:pPr>
      <w:r>
        <w:t>Examples may include credible threats, serious targeted harassment, deliberate exposure of highly sensitive private information, institutional fraud, forged Prize or membership records, deliberate malicious impersonation, significant exploitation of institutional authority, or comparable serious misconduct.</w:t>
      </w:r>
    </w:p>
    <w:p>
      <w:pPr>
        <w:spacing w:after="120"/>
      </w:pPr>
      <w:r>
        <w:t>These examples are illustrative, not exhaustive.</w:t>
      </w:r>
    </w:p>
    <w:p>
      <w:pPr>
        <w:pStyle w:val="Heading1"/>
      </w:pPr>
      <w:r>
        <w:t>33. Decisions</w:t>
      </w:r>
    </w:p>
    <w:p>
      <w:pPr>
        <w:spacing w:after="120"/>
      </w:pPr>
      <w:r>
        <w:t>Material conduct decisions should identify, at an appropriate level, the conduct considered, the relevant rule, the determination, the action taken, and sufficient reasoning to make the institutional basis understandable.</w:t>
      </w:r>
    </w:p>
    <w:p>
      <w:pPr>
        <w:spacing w:after="120"/>
      </w:pPr>
      <w:r>
        <w:t>A decision need not publish sensitive evidence or private personal information.</w:t>
      </w:r>
    </w:p>
    <w:p>
      <w:pPr>
        <w:pStyle w:val="Heading1"/>
      </w:pPr>
      <w:r>
        <w:t>34. Confidentiality of Conduct Processes</w:t>
      </w:r>
    </w:p>
    <w:p>
      <w:pPr>
        <w:spacing w:after="120"/>
      </w:pPr>
      <w:r>
        <w:t>Conduct matters should be handled with appropriate discretion.</w:t>
      </w:r>
    </w:p>
    <w:p>
      <w:pPr>
        <w:spacing w:after="120"/>
      </w:pPr>
      <w:r>
        <w:t>Mielogos shall not promise absolute secrecy where it cannot responsibly provide it. Information may need to be shared where necessary for fair response, safety, decision-making, legal compliance, or implementation.</w:t>
      </w:r>
    </w:p>
    <w:p>
      <w:pPr>
        <w:spacing w:after="120"/>
      </w:pPr>
      <w:r>
        <w:t>Disclosure should remain no broader than reasonably necessary.</w:t>
      </w:r>
    </w:p>
    <w:p>
      <w:pPr>
        <w:pStyle w:val="Heading1"/>
      </w:pPr>
      <w:r>
        <w:t>35. Public Statements About Conduct Matters</w:t>
      </w:r>
    </w:p>
    <w:p>
      <w:pPr>
        <w:spacing w:after="120"/>
      </w:pPr>
      <w:r>
        <w:t>Mielogos is not required to publicly discuss every complaint or disciplinary matter.</w:t>
      </w:r>
    </w:p>
    <w:p>
      <w:pPr>
        <w:spacing w:after="120"/>
      </w:pPr>
      <w:r>
        <w:t>Where a public statement becomes reasonably necessary because institutional action is already public, material misinformation is circulating, member safety requires clarification, or institutional integrity would otherwise be impaired, Mielogos should disclose no more than reasonably necessary.</w:t>
      </w:r>
    </w:p>
    <w:p>
      <w:pPr>
        <w:spacing w:after="120"/>
      </w:pPr>
      <w:r>
        <w:t>A disciplinary process should not become public entertainment.</w:t>
      </w:r>
    </w:p>
    <w:p>
      <w:pPr>
        <w:pStyle w:val="Heading1"/>
      </w:pPr>
      <w:r>
        <w:t>36. Reconsideration</w:t>
      </w:r>
    </w:p>
    <w:p>
      <w:pPr>
        <w:spacing w:after="120"/>
      </w:pPr>
      <w:r>
        <w:t>A person subject to serious conduct action may request reconsideration where they identify material new information, a significant factual error, a material procedural failure, or another substantial reason why the decision should be reviewed.</w:t>
      </w:r>
    </w:p>
    <w:p>
      <w:pPr>
        <w:spacing w:after="120"/>
      </w:pPr>
      <w:r>
        <w:t>Reconsideration is not a requirement to repeat the entire process merely because the outcome is disliked.</w:t>
      </w:r>
    </w:p>
    <w:p>
      <w:pPr>
        <w:pStyle w:val="Heading1"/>
      </w:pPr>
      <w:r>
        <w:t>37. Genesis Stage Procedure</w:t>
      </w:r>
    </w:p>
    <w:p>
      <w:pPr>
        <w:spacing w:after="120"/>
      </w:pPr>
      <w:r>
        <w:t>During the Genesis Stage, conduct administration may be performed by the Founder or an authorized delegate.</w:t>
      </w:r>
    </w:p>
    <w:p>
      <w:pPr>
        <w:spacing w:after="120"/>
      </w:pPr>
      <w:r>
        <w:t>Where the Founder is personally involved, the complainant, the respondent, or materially conflicted, Mielogos should seek an external or otherwise reasonably independent adviser before a serious final decision where practical.</w:t>
      </w:r>
    </w:p>
    <w:p>
      <w:pPr>
        <w:spacing w:after="120"/>
      </w:pPr>
      <w:r>
        <w:t>Mielogos shall not invent a fictitious committee merely to create the appearance of independence.</w:t>
      </w:r>
    </w:p>
    <w:p>
      <w:pPr>
        <w:pStyle w:val="Heading1"/>
      </w:pPr>
      <w:r>
        <w:t>38. Conduct Outside Association Spaces</w:t>
      </w:r>
    </w:p>
    <w:p>
      <w:pPr>
        <w:spacing w:after="120"/>
      </w:pPr>
      <w:r>
        <w:t>Mielogos should exercise particular restraint regarding conduct occurring wholly outside Association spaces.</w:t>
      </w:r>
    </w:p>
    <w:p>
      <w:pPr>
        <w:spacing w:after="120"/>
      </w:pPr>
      <w:r>
        <w:t>External conduct becomes an institutional matter only where there is a sufficiently direct connection to legitimate Mielogos interests.</w:t>
      </w:r>
    </w:p>
    <w:p>
      <w:pPr>
        <w:spacing w:after="120"/>
      </w:pPr>
      <w:r>
        <w:t>Membership shall not become a licence for continuous moral surveillance of members’ lives.</w:t>
      </w:r>
    </w:p>
    <w:p>
      <w:pPr>
        <w:pStyle w:val="Heading1"/>
      </w:pPr>
      <w:r>
        <w:t>39. Relationship to Law</w:t>
      </w:r>
    </w:p>
    <w:p>
      <w:pPr>
        <w:spacing w:after="120"/>
      </w:pPr>
      <w:r>
        <w:t>Internal Mielogos processes do not replace courts, law enforcement, emergency services, professional regulators, or other competent authorities.</w:t>
      </w:r>
    </w:p>
    <w:p>
      <w:pPr>
        <w:spacing w:after="120"/>
      </w:pPr>
      <w:r>
        <w:t>Mielogos may take its own proportionate institutional action independently of whether an external legal process exists.</w:t>
      </w:r>
    </w:p>
    <w:p>
      <w:pPr>
        <w:spacing w:after="120"/>
      </w:pPr>
      <w:r>
        <w:t>It shall not represent an internal finding as a criminal or judicial determination.</w:t>
      </w:r>
    </w:p>
    <w:p>
      <w:pPr>
        <w:pStyle w:val="Heading1"/>
      </w:pPr>
      <w:r>
        <w:t>40. Cultural and Linguistic Difference</w:t>
      </w:r>
    </w:p>
    <w:p>
      <w:pPr>
        <w:spacing w:after="120"/>
      </w:pPr>
      <w:r>
        <w:t>Mielogos is an international association. Differences in language, communication style, cultural expectation, directness, humour, and social convention should be considered where relevant.</w:t>
      </w:r>
    </w:p>
    <w:p>
      <w:pPr>
        <w:spacing w:after="120"/>
      </w:pPr>
      <w:r>
        <w:t>Cultural difference may explain misunderstanding. It does not automatically excuse serious harm.</w:t>
      </w:r>
    </w:p>
    <w:p>
      <w:pPr>
        <w:spacing w:after="120"/>
      </w:pPr>
      <w:r>
        <w:t>Where ambiguity is plausible, clarification should be preferred before attributing malicious intent.</w:t>
      </w:r>
    </w:p>
    <w:p>
      <w:pPr>
        <w:pStyle w:val="Heading1"/>
      </w:pPr>
      <w:r>
        <w:t>41. Accessibility and Participation</w:t>
      </w:r>
    </w:p>
    <w:p>
      <w:pPr>
        <w:spacing w:after="120"/>
      </w:pPr>
      <w:r>
        <w:t>Where reasonably practicable, conduct processes should permit participation across languages, time zones, communication formats, and differing accessibility needs.</w:t>
      </w:r>
    </w:p>
    <w:p>
      <w:pPr>
        <w:spacing w:after="120"/>
      </w:pPr>
      <w:r>
        <w:t>A person should not be materially disadvantaged merely because they cannot participate in a specific live meeting or communicate fluently in English.</w:t>
      </w:r>
    </w:p>
    <w:p>
      <w:pPr>
        <w:spacing w:after="120"/>
      </w:pPr>
      <w:r>
        <w:t>Machine-assisted or human-assisted translation may be used. Material ambiguity introduced by translation should be treated cautiously.</w:t>
      </w:r>
    </w:p>
    <w:p>
      <w:pPr>
        <w:pStyle w:val="Heading1"/>
      </w:pPr>
      <w:r>
        <w:t>42. Amendments</w:t>
      </w:r>
    </w:p>
    <w:p>
      <w:pPr>
        <w:spacing w:after="120"/>
      </w:pPr>
      <w:r>
        <w:t>This Code may be amended under the authority established by the Constitution.</w:t>
      </w:r>
    </w:p>
    <w:p>
      <w:pPr>
        <w:spacing w:after="120"/>
      </w:pPr>
      <w:r>
        <w:t>Material changes affecting members should be communicated in reasonably accessible form. Changes should ordinarily operate prospectively.</w:t>
      </w:r>
    </w:p>
    <w:p>
      <w:pPr>
        <w:pStyle w:val="Heading1"/>
      </w:pPr>
      <w:r>
        <w:t>43. Entry into Force</w:t>
      </w:r>
    </w:p>
    <w:p>
      <w:pPr>
        <w:spacing w:after="120"/>
      </w:pPr>
      <w:r>
        <w:t>This Code enters into force upon formal adoption by the constitutionally authorized decision-maker.</w:t>
      </w:r>
    </w:p>
    <w:p>
      <w:pPr>
        <w:spacing w:after="120"/>
      </w:pPr>
      <w:r>
        <w:t>This version was adopted on 2 October 2026 under MIELOGOS-AR-005.</w:t>
      </w:r>
    </w:p>
    <w:p>
      <w:pPr>
        <w:pStyle w:val="Heading1"/>
      </w:pPr>
      <w:r>
        <w:t>Core Conduct Formula</w:t>
      </w:r>
    </w:p>
    <w:p>
      <w:pPr>
        <w:ind w:left="480" w:right="240"/>
      </w:pPr>
      <w:r>
        <w:rPr>
          <w:rFonts w:ascii="Noto Sans" w:hAnsi="Noto Sans"/>
          <w:b/>
          <w:i/>
          <w:sz w:val="22"/>
        </w:rPr>
        <w:t>Disagree freely. Do not dehumanize. Respect boundaries. Protect privacy. Do not weaponize the institution. Use authority only for its proper purpose.</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sz w:val="16"/>
      </w:rPr>
      <w:t>ACTIVE  ·  Adopted 2 October 2026  ·  MIELOGOS-AR-005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b/>
        <w:sz w:val="16"/>
      </w:rPr>
      <w:t>MIELOGOS  ·  CODE OF CONDUCT  ·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Constitution and Bylaws v0.1 — ACTIVE</dc:title>
  <dc:subject>Initial active Constitution of MIELOGOS — International Association for Symbiotic Authorship</dc:subject>
  <dc:creator>python-docx</dc:creator>
  <cp:keywords>MIELOGOS, Constitution, Symbiotic Authorship, v0.1, ACTIVE, MIELOGOS-AR-001</cp:keywords>
  <dc:description>Formally adopted 2 October 2026 under MIELOGOS-AR-001.</dc:description>
  <cp:lastModifiedBy/>
  <cp:revision>1</cp:revision>
  <dcterms:created xsi:type="dcterms:W3CDTF">2013-12-23T23:15:00Z</dcterms:created>
  <dcterms:modified xsi:type="dcterms:W3CDTF">2013-12-23T23:15:00Z</dcterms:modified>
  <cp:category/>
</cp:coreProperties>
</file>