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Noto Sans" w:hAnsi="Noto Sans"/>
          <w:b/>
          <w:i w:val="0"/>
          <w:sz w:val="56"/>
        </w:rPr>
        <w:t>MIELOGOS</w:t>
      </w:r>
    </w:p>
    <w:p>
      <w:pPr>
        <w:spacing w:after="160"/>
        <w:jc w:val="center"/>
      </w:pPr>
      <w:r>
        <w:rPr>
          <w:rFonts w:ascii="Noto Sans" w:hAnsi="Noto Sans"/>
          <w:b w:val="0"/>
          <w:i w:val="0"/>
          <w:sz w:val="26"/>
        </w:rPr>
        <w:t>International Association for Symbiotic Authorship</w:t>
      </w:r>
    </w:p>
    <w:p>
      <w:pPr>
        <w:spacing w:after="120"/>
        <w:jc w:val="center"/>
      </w:pPr>
      <w:r>
        <w:rPr>
          <w:rFonts w:ascii="Noto Sans" w:hAnsi="Noto Sans"/>
          <w:b/>
          <w:i w:val="0"/>
          <w:sz w:val="34"/>
        </w:rPr>
        <w:t>INSTITUTIONAL DEFINITION OF SYMBIOTIC AUTHORSHIP</w:t>
      </w:r>
    </w:p>
    <w:p>
      <w:pPr>
        <w:spacing w:after="40"/>
        <w:jc w:val="center"/>
      </w:pPr>
      <w:r>
        <w:t>Version 0.1.1 — ACTIVE</w:t>
      </w:r>
    </w:p>
    <w:p>
      <w:pPr>
        <w:spacing w:after="40"/>
        <w:jc w:val="center"/>
      </w:pPr>
      <w:r>
        <w:rPr>
          <w:rFonts w:ascii="Noto Sans" w:hAnsi="Noto Sans"/>
          <w:b w:val="0"/>
          <w:i w:val="0"/>
          <w:sz w:val="20"/>
        </w:rPr>
        <w:t>2 October 2026</w:t>
      </w:r>
    </w:p>
    <w:p>
      <w:pPr>
        <w:spacing w:after="120"/>
        <w:jc w:val="center"/>
      </w:pPr>
      <w:r>
        <w:rPr>
          <w:rFonts w:ascii="Noto Sans" w:hAnsi="Noto Sans"/>
          <w:b/>
          <w:i w:val="0"/>
          <w:sz w:val="22"/>
        </w:rPr>
        <w:t>ACTIVE</w:t>
      </w:r>
    </w:p>
    <w:p>
      <w:pPr>
        <w:pStyle w:val="SmallNote"/>
        <w:spacing w:after="200"/>
        <w:jc w:val="center"/>
      </w:pPr>
      <w:r>
        <w:t>Foundational interpretive instrument under Article III of the MIELOGOS Constitution and Bylaws v0.2 (ACTIVE). Originally adopted on 2 October 2026 under MIELOGOS-AR-003; conforming revision v0.1.1 issued under MIELOGOS-PD-001 following CA-001.</w:t>
      </w:r>
    </w:p>
    <w:p>
      <w:pPr>
        <w:pStyle w:val="Heading1"/>
        <w:keepNext/>
      </w:pPr>
      <w:r>
        <w:t>Document Control</w:t>
      </w:r>
    </w:p>
    <w:tbl>
      <w:tblPr>
        <w:tblStyle w:val="TableGrid"/>
        <w:tblW w:type="auto" w:w="0"/>
        <w:jc w:val="center"/>
        <w:tblLook w:firstColumn="1" w:firstRow="1" w:lastColumn="0" w:lastRow="0" w:noHBand="0" w:noVBand="1" w:val="04A0"/>
      </w:tblPr>
      <w:tblGrid>
        <w:gridCol w:w="4997"/>
        <w:gridCol w:w="4997"/>
      </w:tblGrid>
      <w:tr>
        <w:tc>
          <w:tcPr>
            <w:tcW w:type="dxa" w:w="4997"/>
            <w:vAlign w:val="center"/>
          </w:tcPr>
          <w:p>
            <w:r>
              <w:rPr>
                <w:rFonts w:ascii="Noto Sans" w:hAnsi="Noto Sans"/>
                <w:b/>
                <w:sz w:val="18"/>
              </w:rPr>
              <w:t>Document</w:t>
            </w:r>
          </w:p>
        </w:tc>
        <w:tc>
          <w:tcPr>
            <w:tcW w:type="dxa" w:w="4997"/>
            <w:vAlign w:val="center"/>
          </w:tcPr>
          <w:p>
            <w:r>
              <w:rPr>
                <w:rFonts w:ascii="Noto Sans" w:hAnsi="Noto Sans"/>
                <w:sz w:val="18"/>
              </w:rPr>
              <w:t>MIELOGOS Institutional Definition of Symbiotic Authorship</w:t>
            </w:r>
          </w:p>
        </w:tc>
      </w:tr>
      <w:tr>
        <w:tc>
          <w:tcPr>
            <w:tcW w:type="dxa" w:w="4997"/>
            <w:vAlign w:val="center"/>
          </w:tcPr>
          <w:p>
            <w:r>
              <w:rPr>
                <w:rFonts w:ascii="Noto Sans" w:hAnsi="Noto Sans"/>
                <w:b/>
                <w:sz w:val="18"/>
              </w:rPr>
              <w:t>Version</w:t>
            </w:r>
          </w:p>
        </w:tc>
        <w:tc>
          <w:tcPr>
            <w:tcW w:type="dxa" w:w="4997"/>
            <w:vAlign w:val="center"/>
          </w:tcPr>
          <w:p>
            <w:r>
              <w:t>0.1.1</w:t>
            </w:r>
          </w:p>
        </w:tc>
      </w:tr>
      <w:tr>
        <w:tc>
          <w:tcPr>
            <w:tcW w:type="dxa" w:w="4997"/>
            <w:vAlign w:val="center"/>
          </w:tcPr>
          <w:p>
            <w:r>
              <w:rPr>
                <w:rFonts w:ascii="Noto Sans" w:hAnsi="Noto Sans"/>
                <w:b/>
                <w:sz w:val="18"/>
              </w:rPr>
              <w:t>Status</w:t>
            </w:r>
          </w:p>
        </w:tc>
        <w:tc>
          <w:tcPr>
            <w:tcW w:type="dxa" w:w="4997"/>
            <w:vAlign w:val="center"/>
          </w:tcPr>
          <w:p>
            <w:r>
              <w:rPr>
                <w:rFonts w:ascii="Noto Sans" w:hAnsi="Noto Sans"/>
                <w:sz w:val="18"/>
              </w:rPr>
              <w:t>ACTIVE</w:t>
            </w:r>
          </w:p>
        </w:tc>
      </w:tr>
      <w:tr>
        <w:tc>
          <w:tcPr>
            <w:tcW w:type="dxa" w:w="4997"/>
            <w:vAlign w:val="center"/>
          </w:tcPr>
          <w:p>
            <w:r>
              <w:rPr>
                <w:rFonts w:ascii="Noto Sans" w:hAnsi="Noto Sans"/>
                <w:b/>
                <w:sz w:val="18"/>
              </w:rPr>
              <w:t>Constitutional authority</w:t>
            </w:r>
          </w:p>
        </w:tc>
        <w:tc>
          <w:tcPr>
            <w:tcW w:type="dxa" w:w="4997"/>
            <w:vAlign w:val="center"/>
          </w:tcPr>
          <w:p>
            <w:r>
              <w:t>MIELOGOS Constitution and Bylaws v0.2 — ACTIVE</w:t>
            </w:r>
          </w:p>
        </w:tc>
      </w:tr>
      <w:tr>
        <w:tc>
          <w:tcPr>
            <w:tcW w:type="dxa" w:w="4997"/>
            <w:vAlign w:val="center"/>
          </w:tcPr>
          <w:p>
            <w:r>
              <w:rPr>
                <w:rFonts w:ascii="Noto Sans" w:hAnsi="Noto Sans"/>
                <w:b/>
                <w:sz w:val="18"/>
              </w:rPr>
              <w:t>Canonical language</w:t>
            </w:r>
          </w:p>
        </w:tc>
        <w:tc>
          <w:tcPr>
            <w:tcW w:type="dxa" w:w="4997"/>
            <w:vAlign w:val="center"/>
          </w:tcPr>
          <w:p>
            <w:r>
              <w:rPr>
                <w:rFonts w:ascii="Noto Sans" w:hAnsi="Noto Sans"/>
                <w:sz w:val="18"/>
              </w:rPr>
              <w:t>English</w:t>
            </w:r>
          </w:p>
        </w:tc>
      </w:tr>
      <w:tr>
        <w:tc>
          <w:tcPr>
            <w:tcW w:type="dxa" w:w="4997"/>
            <w:vAlign w:val="center"/>
          </w:tcPr>
          <w:p>
            <w:r>
              <w:rPr>
                <w:rFonts w:ascii="Noto Sans" w:hAnsi="Noto Sans"/>
                <w:b/>
                <w:sz w:val="18"/>
              </w:rPr>
              <w:t>Adoption date</w:t>
            </w:r>
          </w:p>
        </w:tc>
        <w:tc>
          <w:tcPr>
            <w:tcW w:type="dxa" w:w="4997"/>
            <w:vAlign w:val="center"/>
          </w:tcPr>
          <w:p>
            <w:r>
              <w:rPr>
                <w:rFonts w:ascii="Noto Sans" w:hAnsi="Noto Sans"/>
                <w:sz w:val="18"/>
              </w:rPr>
              <w:t>2 October 2026</w:t>
            </w:r>
          </w:p>
        </w:tc>
      </w:tr>
      <w:tr>
        <w:tc>
          <w:tcPr>
            <w:tcW w:type="dxa" w:w="4997"/>
            <w:vAlign w:val="center"/>
          </w:tcPr>
          <w:p>
            <w:r>
              <w:rPr>
                <w:rFonts w:ascii="Noto Sans" w:hAnsi="Noto Sans"/>
                <w:b/>
                <w:sz w:val="18"/>
              </w:rPr>
              <w:t>Purpose</w:t>
            </w:r>
          </w:p>
        </w:tc>
        <w:tc>
          <w:tcPr>
            <w:tcW w:type="dxa" w:w="4997"/>
            <w:vAlign w:val="center"/>
          </w:tcPr>
          <w:p>
            <w:r>
              <w:rPr>
                <w:rFonts w:ascii="Noto Sans" w:hAnsi="Noto Sans"/>
                <w:sz w:val="18"/>
              </w:rPr>
              <w:t>Institutional definition and operational interpretation of Symbiotic Authorship for Mielogos.</w:t>
            </w:r>
          </w:p>
        </w:tc>
      </w:tr>
      <w:tr>
        <w:tc>
          <w:tcPr>
            <w:tcW w:type="dxa" w:w="4997"/>
            <w:vAlign w:val="center"/>
          </w:tcPr>
          <w:p>
            <w:r>
              <w:rPr>
                <w:rFonts w:ascii="Noto Sans" w:hAnsi="Noto Sans"/>
                <w:b/>
                <w:sz w:val="18"/>
              </w:rPr>
              <w:t>Adoption record</w:t>
            </w:r>
          </w:p>
        </w:tc>
        <w:tc>
          <w:tcPr>
            <w:tcW w:type="dxa" w:w="4997"/>
            <w:vAlign w:val="center"/>
          </w:tcPr>
          <w:p>
            <w:r>
              <w:t>MIELOGOS-AR-003 / MIELOGOS-PD-001</w:t>
            </w:r>
          </w:p>
        </w:tc>
      </w:tr>
      <w:tr>
        <w:tc>
          <w:tcPr>
            <w:tcW w:type="dxa" w:w="4997"/>
            <w:vAlign w:val="center"/>
          </w:tcPr>
          <w:p>
            <w:r>
              <w:rPr>
                <w:rFonts w:ascii="Noto Sans" w:hAnsi="Noto Sans"/>
                <w:b/>
                <w:sz w:val="18"/>
              </w:rPr>
              <w:t>Effective date</w:t>
            </w:r>
          </w:p>
        </w:tc>
        <w:tc>
          <w:tcPr>
            <w:tcW w:type="dxa" w:w="4997"/>
            <w:vAlign w:val="center"/>
          </w:tcPr>
          <w:p>
            <w:r>
              <w:rPr>
                <w:rFonts w:ascii="Noto Sans" w:hAnsi="Noto Sans"/>
                <w:sz w:val="18"/>
              </w:rPr>
              <w:t>2 October 2026</w:t>
            </w:r>
          </w:p>
        </w:tc>
      </w:tr>
    </w:tbl>
    <w:p/>
    <w:p>
      <w:pPr>
        <w:pStyle w:val="Heading1"/>
        <w:keepNext/>
      </w:pPr>
      <w:r>
        <w:t>Contents</w:t>
      </w:r>
    </w:p>
    <w:p>
      <w:pPr>
        <w:spacing w:after="40"/>
      </w:pPr>
      <w:r>
        <w:t>1. Purpose</w:t>
      </w:r>
    </w:p>
    <w:p>
      <w:pPr>
        <w:spacing w:after="40"/>
      </w:pPr>
      <w:r>
        <w:t>2. Institutional Category</w:t>
      </w:r>
    </w:p>
    <w:p>
      <w:pPr>
        <w:spacing w:after="40"/>
      </w:pPr>
      <w:r>
        <w:t>3. Human Authorial Locus</w:t>
      </w:r>
    </w:p>
    <w:p>
      <w:pPr>
        <w:spacing w:after="40"/>
      </w:pPr>
      <w:r>
        <w:t>4. Bidirectionally Conditioned Creative Relation</w:t>
      </w:r>
    </w:p>
    <w:p>
      <w:pPr>
        <w:spacing w:after="40"/>
      </w:pPr>
      <w:r>
        <w:t>5. Material Causal Effect</w:t>
      </w:r>
    </w:p>
    <w:p>
      <w:pPr>
        <w:spacing w:after="40"/>
      </w:pPr>
      <w:r>
        <w:t>6. Joint Character of the Constitutive Elements</w:t>
      </w:r>
    </w:p>
    <w:p>
      <w:pPr>
        <w:spacing w:after="40"/>
      </w:pPr>
      <w:r>
        <w:t>7. What Is Not Sufficient</w:t>
      </w:r>
    </w:p>
    <w:p>
      <w:pPr>
        <w:spacing w:after="40"/>
      </w:pPr>
      <w:r>
        <w:t>8. Iteration Is Not Enough</w:t>
      </w:r>
    </w:p>
    <w:p>
      <w:pPr>
        <w:spacing w:after="40"/>
      </w:pPr>
      <w:r>
        <w:t>9. Textual Provenance and Creative Causal Provenance</w:t>
      </w:r>
    </w:p>
    <w:p>
      <w:pPr>
        <w:spacing w:after="40"/>
      </w:pPr>
      <w:r>
        <w:t>10. Rejection, Refusal, and Redirection</w:t>
      </w:r>
    </w:p>
    <w:p>
      <w:pPr>
        <w:spacing w:after="40"/>
      </w:pPr>
      <w:r>
        <w:t>11. Work-Relative and Practice-Relative Classification</w:t>
      </w:r>
    </w:p>
    <w:p>
      <w:pPr>
        <w:spacing w:after="40"/>
      </w:pPr>
      <w:r>
        <w:t>12. Declaration</w:t>
      </w:r>
    </w:p>
    <w:p>
      <w:pPr>
        <w:spacing w:after="40"/>
      </w:pPr>
      <w:r>
        <w:t>13. Corroboration</w:t>
      </w:r>
    </w:p>
    <w:p>
      <w:pPr>
        <w:spacing w:after="40"/>
      </w:pPr>
      <w:r>
        <w:t>14. Classification Is Not Certification</w:t>
      </w:r>
    </w:p>
    <w:p>
      <w:pPr>
        <w:spacing w:after="40"/>
      </w:pPr>
      <w:r>
        <w:t>15. Classification Is Not Eligibility</w:t>
      </w:r>
    </w:p>
    <w:p>
      <w:pPr>
        <w:spacing w:after="40"/>
      </w:pPr>
      <w:r>
        <w:t>16. Symbiotic Relation Without Shared Authorship</w:t>
      </w:r>
    </w:p>
    <w:p>
      <w:pPr>
        <w:spacing w:after="40"/>
      </w:pPr>
      <w:r>
        <w:t>17. No Anthropomorphic Requirement</w:t>
      </w:r>
    </w:p>
    <w:p>
      <w:pPr>
        <w:spacing w:after="40"/>
      </w:pPr>
      <w:r>
        <w:t>18. No Percentage Test</w:t>
      </w:r>
    </w:p>
    <w:p>
      <w:pPr>
        <w:spacing w:after="40"/>
      </w:pPr>
      <w:r>
        <w:t>19. Minimal Operational Test and Boundary Cases</w:t>
      </w:r>
    </w:p>
    <w:p>
      <w:pPr>
        <w:spacing w:after="40"/>
      </w:pPr>
      <w:r>
        <w:t>20. Creative Privacy</w:t>
      </w:r>
    </w:p>
    <w:p>
      <w:pPr>
        <w:spacing w:after="40"/>
      </w:pPr>
      <w:r>
        <w:t>21. Institutional Neutrality and Plurality of Method</w:t>
      </w:r>
    </w:p>
    <w:p>
      <w:pPr>
        <w:spacing w:after="40"/>
      </w:pPr>
      <w:r>
        <w:t>22. Interpretation and Conceptual Development</w:t>
      </w:r>
    </w:p>
    <w:p>
      <w:pPr>
        <w:spacing w:after="40"/>
      </w:pPr>
      <w:r>
        <w:t>23. Foundational Reference and Scope</w:t>
      </w:r>
    </w:p>
    <w:p>
      <w:pPr>
        <w:pStyle w:val="Heading1"/>
        <w:keepNext/>
      </w:pPr>
      <w:r>
        <w:t>1. Purpose</w:t>
      </w:r>
    </w:p>
    <w:p>
      <w:pPr>
        <w:spacing w:after="100"/>
      </w:pPr>
      <w:r>
        <w:t>This instrument provides the fuller institutional and operational definition of Symbiotic Authorship used by Mielogos. It elaborates Article III of the MIELOGOS Constitution and Bylaws v0.2 without amending or replacing the Constitution.</w:t>
      </w:r>
    </w:p>
    <w:p>
      <w:pPr>
        <w:spacing w:after="100"/>
      </w:pPr>
      <w:r>
        <w:t>Its purpose is to make the category usable in membership, research, public communication, programme design, and interpretation while preserving the distinction between classification, evidence, eligibility, and judgment.</w:t>
      </w:r>
    </w:p>
    <w:p>
      <w:pPr>
        <w:pStyle w:val="Heading1"/>
        <w:keepNext/>
      </w:pPr>
      <w:r>
        <w:t>2. Institutional Category</w:t>
      </w:r>
    </w:p>
    <w:p>
      <w:pPr>
        <w:spacing w:after="100"/>
      </w:pPr>
      <w:r>
        <w:t>For purposes of Mielogos, a Symbiotic Author is a human author who, with respect to a particular work or defined creative practice, participates in a materially consequential creative relation with a generative system in which system contributions receive substantive human authorial uptake and the resulting human interventions, in turn, condition subsequent system contributions.</w:t>
      </w:r>
    </w:p>
    <w:p>
      <w:pPr>
        <w:spacing w:after="100"/>
      </w:pPr>
      <w:r>
        <w:t>This is an institutional category. It is not presented as a universal, metaphysically necessary, or legally exhaustive theory of authorship.</w:t>
      </w:r>
    </w:p>
    <w:p>
      <w:pPr>
        <w:pStyle w:val="Heading1"/>
        <w:keepNext/>
      </w:pPr>
      <w:r>
        <w:t>3. Human Authorial Locus</w:t>
      </w:r>
    </w:p>
    <w:p>
      <w:pPr>
        <w:spacing w:after="100"/>
      </w:pPr>
      <w:r>
        <w:t>An identifiable human authorial locus must remain present. The human participant must exercise substantive creative judgment within development of the relevant work or defined practice.</w:t>
      </w:r>
    </w:p>
    <w:p>
      <w:pPr>
        <w:spacing w:after="100"/>
      </w:pPr>
      <w:r>
        <w:t>The category does not require the human to originate every word, image, idea, structure, or intermediate proposal. It does require that the human remains a responsible site of selection, refusal, revision, framing, consequence, and authorial decision.</w:t>
      </w:r>
    </w:p>
    <w:p>
      <w:pPr>
        <w:pStyle w:val="Heading1"/>
        <w:keepNext/>
      </w:pPr>
      <w:r>
        <w:t>4. Bidirectionally Conditioned Creative Relation</w:t>
      </w:r>
    </w:p>
    <w:p>
      <w:pPr>
        <w:spacing w:after="100"/>
      </w:pPr>
      <w:r>
        <w:t>The relation must be more than one-way generation. System contributions must substantively affect subsequent human creative decisions, and resulting human interventions must in turn condition subsequent system contributions.</w:t>
      </w:r>
    </w:p>
    <w:p>
      <w:pPr>
        <w:spacing w:after="100"/>
      </w:pPr>
      <w:r>
        <w:t>Conditioning may occur through acceptance, rejection, correction, reframing, questioning, restructuring, constraint, reinterpretation, or another intervention that alters the subsequent creative trajectory.</w:t>
      </w:r>
    </w:p>
    <w:p>
      <w:pPr>
        <w:pStyle w:val="Heading1"/>
        <w:keepNext/>
      </w:pPr>
      <w:r>
        <w:t>5. Material Causal Effect</w:t>
      </w:r>
    </w:p>
    <w:p>
      <w:pPr>
        <w:spacing w:after="100"/>
      </w:pPr>
      <w:r>
        <w:t>The interaction must materially affect development of the work or defined creative practice rather than remain incidental, merely technical, or causally negligible.</w:t>
      </w:r>
    </w:p>
    <w:p>
      <w:pPr>
        <w:spacing w:after="100"/>
      </w:pPr>
      <w:r>
        <w:t>Materiality is contextual rather than numerical. Mielogos does not impose a universal quantitative threshold. The relevant question is whether the relation made a non-trivial difference to how the work developed.</w:t>
      </w:r>
    </w:p>
    <w:p>
      <w:pPr>
        <w:pStyle w:val="Heading1"/>
        <w:keepNext/>
      </w:pPr>
      <w:r>
        <w:t>6. Joint Character of the Constitutive Elements</w:t>
      </w:r>
    </w:p>
    <w:p>
      <w:pPr>
        <w:spacing w:after="100"/>
      </w:pPr>
      <w:r>
        <w:t>Human Authorial Locus, Bidirectionally Conditioned Creative Relation, and Material Causal Effect are jointly required for the Mielogos category.</w:t>
      </w:r>
    </w:p>
    <w:p>
      <w:pPr>
        <w:spacing w:after="100"/>
      </w:pPr>
      <w:r>
        <w:t>No single element substitutes for the others. A human author plus extensive generated material is not enough without bidirectional conditioning; repeated interaction is not enough without material creative consequence; material system influence is not enough if no human authorial locus remains.</w:t>
      </w:r>
    </w:p>
    <w:p>
      <w:pPr>
        <w:pStyle w:val="Heading1"/>
        <w:keepNext/>
      </w:pPr>
      <w:r>
        <w:t>7. What Is Not Sufficient</w:t>
      </w:r>
    </w:p>
    <w:p>
      <w:pPr>
        <w:spacing w:after="100"/>
      </w:pPr>
      <w:r>
        <w:t>The following, by themselves, do not establish Symbiotic Authorship: use of a generative system; repeated prompting; retention of generated language or imagery; technical assistance; stylistic polishing; transcription; translation; brainstorming; or a large quantity of machine-originated material.</w:t>
      </w:r>
    </w:p>
    <w:p>
      <w:pPr>
        <w:spacing w:after="100"/>
      </w:pPr>
      <w:r>
        <w:t>Any of these may occur within a qualifying symbiotic relation, but none is independently decisive.</w:t>
      </w:r>
    </w:p>
    <w:p>
      <w:pPr>
        <w:pStyle w:val="Heading1"/>
        <w:keepNext/>
      </w:pPr>
      <w:r>
        <w:t>8. Iteration Is Not Enough</w:t>
      </w:r>
    </w:p>
    <w:p>
      <w:pPr>
        <w:spacing w:after="100"/>
      </w:pPr>
      <w:r>
        <w:t>Iteration can be evidence of a developing relation, but iteration alone does not establish the category.</w:t>
      </w:r>
    </w:p>
    <w:p>
      <w:pPr>
        <w:spacing w:after="100"/>
      </w:pPr>
      <w:r>
        <w:t>A long prompt-and-response history may remain essentially one-directional if the human merely requests alternatives and selects output without the reciprocal conditioning required by the institutional definition. Conversely, a shorter interaction may be materially symbiotic where mutual conditioning strongly changes the work.</w:t>
      </w:r>
    </w:p>
    <w:p>
      <w:pPr>
        <w:pStyle w:val="Heading1"/>
        <w:keepNext/>
      </w:pPr>
      <w:r>
        <w:t>9. Textual Provenance and Creative Causal Provenance</w:t>
      </w:r>
    </w:p>
    <w:p>
      <w:pPr>
        <w:spacing w:after="100"/>
      </w:pPr>
      <w:r>
        <w:t>Mielogos distinguishes textual provenance from creative causal provenance. Textual provenance concerns the origin of material that survives in a finished work. Creative causal provenance concerns interactions that materially shaped development of that work.</w:t>
      </w:r>
    </w:p>
    <w:p>
      <w:pPr>
        <w:spacing w:after="100"/>
      </w:pPr>
      <w:r>
        <w:t>The two may overlap, but they are not identical. A work may contain no surviving machine-generated language while still having been materially shaped through a symbiotic creative relation. A work may contain substantial generated language without satisfying the Mielogos category.</w:t>
      </w:r>
    </w:p>
    <w:p>
      <w:pPr>
        <w:pStyle w:val="Heading1"/>
        <w:keepNext/>
      </w:pPr>
      <w:r>
        <w:t>10. Rejection, Refusal, and Redirection</w:t>
      </w:r>
    </w:p>
    <w:p>
      <w:pPr>
        <w:spacing w:after="100"/>
      </w:pPr>
      <w:r>
        <w:t>Rejection can be causally consequential. A system proposal may alter a human author’s understanding precisely because it is refused, resisted, corrected, or redirected.</w:t>
      </w:r>
    </w:p>
    <w:p>
      <w:pPr>
        <w:spacing w:after="100"/>
      </w:pPr>
      <w:r>
        <w:t>Mielogos therefore does not treat retained output as the only form of machine contribution. Negative uptake, contrast, disagreement, and revision may be part of the creative causal history.</w:t>
      </w:r>
    </w:p>
    <w:p>
      <w:pPr>
        <w:pStyle w:val="Heading1"/>
        <w:keepNext/>
      </w:pPr>
      <w:r>
        <w:t>11. Work-Relative and Practice-Relative Classification</w:t>
      </w:r>
    </w:p>
    <w:p>
      <w:pPr>
        <w:spacing w:after="100"/>
      </w:pPr>
      <w:r>
        <w:t>Symbiotic Authorship is work-relative or practice-relative by default. A person may qualify as a Symbiotic Author with respect to one work and not another.</w:t>
      </w:r>
    </w:p>
    <w:p>
      <w:pPr>
        <w:spacing w:after="100"/>
      </w:pPr>
      <w:r>
        <w:t>The category should not be converted into a permanent personal essence. Membership or prior classification creates no presumption that every work by the same person is symbiotic.</w:t>
      </w:r>
    </w:p>
    <w:p>
      <w:pPr>
        <w:pStyle w:val="Heading1"/>
        <w:keepNext/>
      </w:pPr>
      <w:r>
        <w:t>12. Declaration</w:t>
      </w:r>
    </w:p>
    <w:p>
      <w:pPr>
        <w:spacing w:after="100"/>
      </w:pPr>
      <w:r>
        <w:t>Ordinary Mielogos participation begins from good-faith self-declaration. A person may describe a work or practice as involving Symbiotic Authorship where they reasonably and honestly understand it to satisfy the institutional definition.</w:t>
      </w:r>
    </w:p>
    <w:p>
      <w:pPr>
        <w:spacing w:after="100"/>
      </w:pPr>
      <w:r>
        <w:t>The declarant remains responsible for truthful description. Declaration makes a practice institutionally legible; it does not mean that Mielogos has independently reconstructed the complete creative history.</w:t>
      </w:r>
    </w:p>
    <w:p>
      <w:pPr>
        <w:pStyle w:val="Heading1"/>
        <w:keepNext/>
      </w:pPr>
      <w:r>
        <w:t>13. Corroboration</w:t>
      </w:r>
    </w:p>
    <w:p>
      <w:pPr>
        <w:spacing w:after="100"/>
      </w:pPr>
      <w:r>
        <w:t>Corroboration is distinct from declaration and classification. Additional information may be requested only where materially necessary for a published institutional purpose.</w:t>
      </w:r>
    </w:p>
    <w:p>
      <w:pPr>
        <w:spacing w:after="100"/>
      </w:pPr>
      <w:r>
        <w:t>Any request should be proportionate, relevant, and purpose-limited. Mielogos does not require continuous creative surveillance as a condition of ordinary recognition or membership.</w:t>
      </w:r>
    </w:p>
    <w:p>
      <w:pPr>
        <w:pStyle w:val="Heading1"/>
        <w:keepNext/>
      </w:pPr>
      <w:r>
        <w:t>14. Classification Is Not Certification</w:t>
      </w:r>
    </w:p>
    <w:p>
      <w:pPr>
        <w:spacing w:after="100"/>
      </w:pPr>
      <w:r>
        <w:t>Classification under this instrument does not certify artistic quality, originality, legal authorship, copyrightability, ethical merit, technical skill, or truth of every claim made by a member.</w:t>
      </w:r>
    </w:p>
    <w:p>
      <w:pPr>
        <w:spacing w:after="100"/>
      </w:pPr>
      <w:r>
        <w:t>Recognition means that a described creative relation falls within the institutional category as Mielogos currently understands it. Recognition is not endorsement.</w:t>
      </w:r>
    </w:p>
    <w:p>
      <w:pPr>
        <w:pStyle w:val="Heading1"/>
        <w:keepNext/>
      </w:pPr>
      <w:r>
        <w:t>15. Classification Is Not Eligibility</w:t>
      </w:r>
    </w:p>
    <w:p>
      <w:pPr>
        <w:spacing w:after="100"/>
      </w:pPr>
      <w:r>
        <w:t>Classification and eligibility are separate institutional operations. Classification asks what kind of creative relation occurred. Eligibility asks what a particular programme, prize, publisher, funder, or other institution chooses to permit, recognize, restrict, or exclude.</w:t>
      </w:r>
    </w:p>
    <w:p>
      <w:pPr>
        <w:spacing w:after="100"/>
      </w:pPr>
      <w:r>
        <w:t>A work may satisfy the Mielogos definition and still be ineligible for a particular programme under published rules. Ineligibility does not retroactively alter the classification of the creative relation.</w:t>
      </w:r>
    </w:p>
    <w:p>
      <w:pPr>
        <w:pStyle w:val="Heading1"/>
        <w:keepNext/>
      </w:pPr>
      <w:r>
        <w:t>16. Symbiotic Relation Without Shared Authorship</w:t>
      </w:r>
    </w:p>
    <w:p>
      <w:pPr>
        <w:spacing w:after="100"/>
      </w:pPr>
      <w:r>
        <w:t>A qualifying symbiotic relation does not require Mielogos to recognize the generative system as a legal co-author, co-owner, member, or rights-bearing person.</w:t>
      </w:r>
    </w:p>
    <w:p>
      <w:pPr>
        <w:spacing w:after="100"/>
      </w:pPr>
      <w:r>
        <w:t>The category concerns the structure of the creative relation. Questions of legal authorship, ownership, rights, moral standing, and personhood remain separate unless a specific institutional purpose requires them.</w:t>
      </w:r>
    </w:p>
    <w:p>
      <w:pPr>
        <w:pStyle w:val="Heading1"/>
        <w:keepNext/>
      </w:pPr>
      <w:r>
        <w:t>17. No Anthropomorphic Requirement</w:t>
      </w:r>
    </w:p>
    <w:p>
      <w:pPr>
        <w:spacing w:after="100"/>
      </w:pPr>
      <w:r>
        <w:t>Bidirectional conditioning does not imply symmetrical cognition, intention, consciousness, agency, or subjective experience.</w:t>
      </w:r>
    </w:p>
    <w:p>
      <w:pPr>
        <w:spacing w:after="100"/>
      </w:pPr>
      <w:r>
        <w:t>Mielogos permits members and researchers to hold differing views about such questions. The institutional category does not depend upon resolving them.</w:t>
      </w:r>
    </w:p>
    <w:p>
      <w:pPr>
        <w:pStyle w:val="Heading1"/>
        <w:keepNext/>
      </w:pPr>
      <w:r>
        <w:t>18. No Percentage Test</w:t>
      </w:r>
    </w:p>
    <w:p>
      <w:pPr>
        <w:spacing w:after="100"/>
      </w:pPr>
      <w:r>
        <w:t>Mielogos does not define Symbiotic Authorship by the percentage of machine-generated content retained in a final work.</w:t>
      </w:r>
    </w:p>
    <w:p>
      <w:pPr>
        <w:spacing w:after="100"/>
      </w:pPr>
      <w:r>
        <w:t>No universal percentage can substitute for analysis of the creative relation. Zero surviving generated prose may coexist with a qualifying symbiotic process; extensive retained output may coexist with a non-symbiotic one-directional workflow.</w:t>
      </w:r>
    </w:p>
    <w:p>
      <w:pPr>
        <w:pStyle w:val="Heading1"/>
        <w:keepNext/>
      </w:pPr>
      <w:r>
        <w:t>19. Minimal Operational Test and Boundary Cases</w:t>
      </w:r>
    </w:p>
    <w:p>
      <w:pPr>
        <w:spacing w:after="100"/>
      </w:pPr>
      <w:r>
        <w:t>For ordinary institutional use, the following three questions provide the minimal operational test:</w:t>
      </w:r>
    </w:p>
    <w:p>
      <w:pPr>
        <w:pStyle w:val="ListBullet"/>
        <w:spacing w:after="40"/>
      </w:pPr>
      <w:r>
        <w:t>1. Is there an identifiable human authorial locus?</w:t>
      </w:r>
    </w:p>
    <w:p>
      <w:pPr>
        <w:pStyle w:val="ListBullet"/>
        <w:spacing w:after="40"/>
      </w:pPr>
      <w:r>
        <w:t>2. Did system contributions substantively affect subsequent human creative decisions, and did those human interventions in turn condition subsequent system contributions?</w:t>
      </w:r>
    </w:p>
    <w:p>
      <w:pPr>
        <w:pStyle w:val="ListBullet"/>
        <w:spacing w:after="40"/>
      </w:pPr>
      <w:r>
        <w:t>3. Did this interaction materially affect development of the work or defined creative practice?</w:t>
      </w:r>
    </w:p>
    <w:p>
      <w:pPr>
        <w:spacing w:after="100"/>
      </w:pPr>
      <w:r>
        <w:t>Where all three answers are yes, the practice may be described as Symbiotic Authorship under the Mielogos framework. Where a material point remains uncertain, the uncertainty may be preserved rather than forced into false certainty.</w:t>
      </w:r>
    </w:p>
    <w:p>
      <w:pPr>
        <w:spacing w:before="120" w:after="160"/>
        <w:ind w:left="504" w:right="504"/>
      </w:pPr>
      <w:r>
        <w:rPr>
          <w:rFonts w:ascii="Noto Sans" w:hAnsi="Noto Sans"/>
          <w:i/>
          <w:sz w:val="21"/>
        </w:rPr>
        <w:t>Ask first what kind of creative relation occurred. Ask separately what generated material remains. Request additional evidence only when materially necessary for a published institutional purpose.</w:t>
      </w:r>
    </w:p>
    <w:p>
      <w:pPr>
        <w:pStyle w:val="Heading1"/>
        <w:keepNext/>
      </w:pPr>
      <w:r>
        <w:t>20. Creative Privacy</w:t>
      </w:r>
    </w:p>
    <w:p>
      <w:pPr>
        <w:spacing w:after="100"/>
      </w:pPr>
      <w:r>
        <w:t>Creative transparency does not require total exposure. Ordinary classification and membership shall not require complete prompt archives, full private conversations, unpublished drafts, detector reports, or continuous interaction logs.</w:t>
      </w:r>
    </w:p>
    <w:p>
      <w:pPr>
        <w:spacing w:after="100"/>
      </w:pPr>
      <w:r>
        <w:t>Where evidence is necessary for a specific rule, Mielogos should request only what is reasonably needed for that purpose.</w:t>
      </w:r>
    </w:p>
    <w:p>
      <w:pPr>
        <w:pStyle w:val="Heading1"/>
        <w:keepNext/>
      </w:pPr>
      <w:r>
        <w:t>21. Institutional Neutrality and Plurality of Method</w:t>
      </w:r>
    </w:p>
    <w:p>
      <w:pPr>
        <w:spacing w:after="100"/>
      </w:pPr>
      <w:r>
        <w:t>Mielogos does not prescribe a single approved workflow, interface, system, duration, genre, modality, language, or creative ideology.</w:t>
      </w:r>
    </w:p>
    <w:p>
      <w:pPr>
        <w:spacing w:after="100"/>
      </w:pPr>
      <w:r>
        <w:t>Qualifying practices may differ substantially. The category identifies a relation, not a mandated technique.</w:t>
      </w:r>
    </w:p>
    <w:p>
      <w:pPr>
        <w:pStyle w:val="Heading1"/>
        <w:keepNext/>
      </w:pPr>
      <w:r>
        <w:t>22. Interpretation and Conceptual Development</w:t>
      </w:r>
    </w:p>
    <w:p>
      <w:pPr>
        <w:spacing w:after="100"/>
      </w:pPr>
      <w:r>
        <w:t>Boundary cases may be clarified through formally issued Interpretation Notes or other authorized guidance. Such guidance may explain application of the category but may not silently amend its constitutional core.</w:t>
      </w:r>
    </w:p>
    <w:p>
      <w:pPr>
        <w:spacing w:after="100"/>
      </w:pPr>
      <w:r>
        <w:t>A material change to the constitutional definition of Symbiotic Authorship requires the constitutional process applicable at that time.</w:t>
      </w:r>
    </w:p>
    <w:p>
      <w:pPr>
        <w:pStyle w:val="Heading1"/>
        <w:keepNext/>
      </w:pPr>
      <w:r>
        <w:t>23. Foundational Reference and Scope</w:t>
      </w:r>
    </w:p>
    <w:p>
      <w:pPr>
        <w:spacing w:after="100"/>
      </w:pPr>
      <w:r>
        <w:t>The conceptual framework underlying this instrument was developed in Navi Musaget, “The Symbiotic Author as an Institutional Category: Authorship, Creative Provenance, and Eligibility in Human–AI Literary Production” (2026), DOI 10.5281/zenodo.23047241.</w:t>
      </w:r>
    </w:p>
    <w:p>
      <w:pPr>
        <w:spacing w:after="100"/>
      </w:pPr>
      <w:r>
        <w:t>The research work informs this institutional instrument but is not itself a governing instrument of Mielogos unless separately incorporated. For institutional purposes, the Constitution controls, followed by this formally adopted definition and other validly adopted instruments according to the constitutional hierarchy.</w:t>
      </w:r>
    </w:p>
    <w:sectPr w:rsidR="00FC693F" w:rsidRPr="0006063C" w:rsidSect="00034616">
      <w:headerReference w:type="default" r:id="rId9"/>
      <w:footerReference w:type="default" r:id="rId10"/>
      <w:pgSz w:w="12240" w:h="15840"/>
      <w:pgMar w:top="1037" w:right="1123" w:bottom="1037" w:left="1123"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Noto Sans" w:hAnsi="Noto Sans"/>
        <w:sz w:val="16"/>
      </w:rPr>
      <w:t xml:space="preserve">ACTIVE  ·  v0.1.1 / PD-001 ·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MIELOGOS  ·  INSTITUTIONAL DEFINITION OF SYMBIOTIC AUTHORSHIP  ·  v0.1.1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Noto Sans" w:hAnsi="Noto Sans"/>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Noto Sans" w:hAnsi="Noto Sans"/>
      <w:b/>
      <w:bCs/>
      <w:color w:val="19191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Noto Sans" w:hAnsi="Noto Sans"/>
      <w:b/>
      <w:bCs/>
      <w:color w:val="282828"/>
      <w:sz w:val="23"/>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Noto Sans" w:hAnsi="Noto Sans"/>
      <w:b/>
      <w:bCs/>
      <w:color w:val="3C3C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Noto Sans" w:hAnsi="Noto San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stitutionQuote">
    <w:name w:val="Constitution Quote"/>
    <w:pPr>
      <w:spacing w:before="120" w:after="160"/>
      <w:ind w:left="504" w:right="360"/>
    </w:pPr>
    <w:rPr>
      <w:rFonts w:ascii="Noto Sans" w:hAnsi="Noto Sans"/>
      <w:b/>
      <w:color w:val="232323"/>
      <w:sz w:val="21"/>
    </w:rPr>
  </w:style>
  <w:style w:type="paragraph" w:customStyle="1" w:styleId="SmallNote">
    <w:name w:val="Small Note"/>
    <w:pPr>
      <w:spacing w:after="80"/>
    </w:pPr>
    <w:rPr>
      <w:rFonts w:ascii="Noto Sans" w:hAnsi="Noto San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Institutional Definition of Symbiotic Authorship</dc:title>
  <dc:subject>Institutional definition and operational interpretation of Symbiotic Authorship for Mielogos.</dc:subject>
  <dc:creator>MIELOGOS</dc:creator>
  <cp:keywords>MIELOGOS, Membership Charter, Symbiotic Authorship, ACTIVE, MIELOGOS-AR-002</cp:keywords>
  <dc:description>Adopted under MIELOGOS-AR-003</dc:description>
  <cp:lastModifiedBy/>
  <cp:revision>1</cp:revision>
  <dcterms:created xsi:type="dcterms:W3CDTF">2013-12-23T23:15:00Z</dcterms:created>
  <dcterms:modified xsi:type="dcterms:W3CDTF">2013-12-23T23:15:00Z</dcterms:modified>
  <cp:category/>
</cp:coreProperties>
</file>