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500"/>
        <w:jc w:val="center"/>
      </w:pPr>
      <w:r>
        <w:rPr>
          <w:rFonts w:ascii="Noto Sans" w:hAnsi="Noto Sans"/>
          <w:b/>
          <w:color w:val="141414"/>
          <w:sz w:val="56"/>
        </w:rPr>
        <w:t>MIELOGOS</w:t>
      </w:r>
    </w:p>
    <w:p>
      <w:pPr>
        <w:jc w:val="center"/>
      </w:pPr>
      <w:r>
        <w:rPr>
          <w:rFonts w:ascii="Noto Sans" w:hAnsi="Noto Sans"/>
          <w:color w:val="3C3C3C"/>
          <w:sz w:val="26"/>
        </w:rPr>
        <w:t>International Association for Symbiotic Authorship</w:t>
      </w:r>
    </w:p>
    <w:p>
      <w:pPr>
        <w:spacing w:before="560"/>
        <w:jc w:val="center"/>
      </w:pPr>
      <w:r>
        <w:rPr>
          <w:rFonts w:ascii="Noto Sans" w:hAnsi="Noto Sans"/>
          <w:b/>
          <w:sz w:val="34"/>
        </w:rPr>
        <w:t>CONSTITUTION AND BYLAWS</w:t>
      </w:r>
    </w:p>
    <w:p>
      <w:pPr>
        <w:jc w:val="center"/>
      </w:pPr>
      <w:r>
        <w:t>Version 0.2 — ACTIVE</w:t>
      </w:r>
    </w:p>
    <w:p>
      <w:pPr>
        <w:jc w:val="center"/>
      </w:pPr>
      <w:r>
        <w:rPr>
          <w:rFonts w:ascii="Noto Sans" w:hAnsi="Noto Sans"/>
          <w:color w:val="505050"/>
          <w:sz w:val="20"/>
        </w:rPr>
        <w:t>2 October 2026</w:t>
      </w:r>
    </w:p>
    <w:p>
      <w:pPr>
        <w:spacing w:before="1100"/>
        <w:jc w:val="center"/>
      </w:pPr>
      <w:r>
        <w:rPr>
          <w:rFonts w:ascii="Noto Sans" w:hAnsi="Noto Sans"/>
        </w:rPr>
        <w:t>ACTIVE</w:t>
      </w:r>
    </w:p>
    <w:p>
      <w:pPr>
        <w:jc w:val="center"/>
      </w:pPr>
      <w:r>
        <w:t>Original Constitution adopted 2 October 2026 under MIELOGOS-AR-001. Version 0.2 incorporates Constitutional Amendment MIELOGOS-CA-001, effective 2 October 2026.</w:t>
      </w:r>
    </w:p>
    <w:p>
      <w:r>
        <w:br w:type="page"/>
      </w:r>
    </w:p>
    <w:p>
      <w:pPr>
        <w:pStyle w:val="Heading1"/>
      </w:pPr>
      <w:r>
        <w:t>Document Control</w:t>
      </w:r>
    </w:p>
    <w:tbl>
      <w:tblPr>
        <w:tblStyle w:val="TableGrid"/>
        <w:tblW w:type="auto" w:w="0"/>
        <w:jc w:val="center"/>
        <w:tblLook w:firstColumn="1" w:firstRow="1" w:lastColumn="0" w:lastRow="0" w:noHBand="0" w:noVBand="1" w:val="04A0"/>
        <w:tblCellMar>
          <w:top w:w="80" w:type="dxa"/>
          <w:left w:w="90" w:type="dxa"/>
          <w:bottom w:w="80" w:type="dxa"/>
          <w:right w:w="90" w:type="dxa"/>
        </w:tblCellMar>
      </w:tblPr>
      <w:tblGrid>
        <w:gridCol w:w="4997"/>
        <w:gridCol w:w="4997"/>
      </w:tblGrid>
      <w:tr>
        <w:tc>
          <w:tcPr>
            <w:tcW w:type="dxa" w:w="4997"/>
            <w:vAlign w:val="center"/>
            <w:shd w:fill="F1F1F1"/>
            <w:tcMar>
              <w:top w:w="90" w:type="dxa"/>
              <w:start w:w="100" w:type="dxa"/>
              <w:bottom w:w="90" w:type="dxa"/>
              <w:end w:w="100" w:type="dxa"/>
            </w:tcMar>
          </w:tcPr>
          <w:p>
            <w:r>
              <w:rPr>
                <w:rFonts w:ascii="Noto Sans" w:hAnsi="Noto Sans"/>
                <w:b/>
                <w:sz w:val="18"/>
              </w:rPr>
              <w:t>Document</w:t>
            </w:r>
          </w:p>
        </w:tc>
        <w:tc>
          <w:tcPr>
            <w:tcW w:type="dxa" w:w="4997"/>
            <w:vAlign w:val="center"/>
            <w:tcMar>
              <w:top w:w="90" w:type="dxa"/>
              <w:start w:w="100" w:type="dxa"/>
              <w:bottom w:w="90" w:type="dxa"/>
              <w:end w:w="100" w:type="dxa"/>
            </w:tcMar>
          </w:tcPr>
          <w:p>
            <w:r>
              <w:rPr>
                <w:rFonts w:ascii="Noto Sans" w:hAnsi="Noto Sans"/>
                <w:b w:val="0"/>
                <w:sz w:val="18"/>
              </w:rPr>
              <w:t>MIELOGOS Constitution and Bylaws</w:t>
            </w:r>
          </w:p>
        </w:tc>
      </w:tr>
      <w:tr>
        <w:tc>
          <w:tcPr>
            <w:tcW w:type="dxa" w:w="4997"/>
            <w:vAlign w:val="center"/>
            <w:shd w:fill="F1F1F1"/>
            <w:tcMar>
              <w:top w:w="90" w:type="dxa"/>
              <w:start w:w="100" w:type="dxa"/>
              <w:bottom w:w="90" w:type="dxa"/>
              <w:end w:w="100" w:type="dxa"/>
            </w:tcMar>
          </w:tcPr>
          <w:p>
            <w:r>
              <w:rPr>
                <w:rFonts w:ascii="Noto Sans" w:hAnsi="Noto Sans"/>
                <w:b/>
                <w:sz w:val="18"/>
              </w:rPr>
              <w:t>Version</w:t>
            </w:r>
          </w:p>
        </w:tc>
        <w:tc>
          <w:tcPr>
            <w:tcW w:type="dxa" w:w="4997"/>
            <w:vAlign w:val="center"/>
            <w:tcMar>
              <w:top w:w="90" w:type="dxa"/>
              <w:start w:w="100" w:type="dxa"/>
              <w:bottom w:w="90" w:type="dxa"/>
              <w:end w:w="100" w:type="dxa"/>
            </w:tcMar>
          </w:tcPr>
          <w:p>
            <w:r>
              <w:t>v0.2</w:t>
            </w:r>
          </w:p>
        </w:tc>
      </w:tr>
      <w:tr>
        <w:tc>
          <w:tcPr>
            <w:tcW w:type="dxa" w:w="4997"/>
            <w:vAlign w:val="center"/>
            <w:shd w:fill="F1F1F1"/>
            <w:tcMar>
              <w:top w:w="90" w:type="dxa"/>
              <w:start w:w="100" w:type="dxa"/>
              <w:bottom w:w="90" w:type="dxa"/>
              <w:end w:w="100" w:type="dxa"/>
            </w:tcMar>
          </w:tcPr>
          <w:p>
            <w:r>
              <w:rPr>
                <w:rFonts w:ascii="Noto Sans" w:hAnsi="Noto Sans"/>
                <w:b/>
                <w:sz w:val="18"/>
              </w:rPr>
              <w:t>Status</w:t>
            </w:r>
          </w:p>
        </w:tc>
        <w:tc>
          <w:tcPr>
            <w:tcW w:type="dxa" w:w="4997"/>
            <w:vAlign w:val="center"/>
            <w:tcMar>
              <w:top w:w="90" w:type="dxa"/>
              <w:start w:w="100" w:type="dxa"/>
              <w:bottom w:w="90" w:type="dxa"/>
              <w:end w:w="100" w:type="dxa"/>
            </w:tcMar>
          </w:tcPr>
          <w:p>
            <w:r>
              <w:rPr>
                <w:rFonts w:ascii="Noto Sans" w:hAnsi="Noto Sans"/>
                <w:b w:val="0"/>
                <w:sz w:val="18"/>
              </w:rPr>
              <w:t>ACTIVE</w:t>
            </w:r>
          </w:p>
        </w:tc>
      </w:tr>
      <w:tr>
        <w:tc>
          <w:tcPr>
            <w:tcW w:type="dxa" w:w="4997"/>
            <w:vAlign w:val="center"/>
            <w:shd w:fill="F1F1F1"/>
            <w:tcMar>
              <w:top w:w="90" w:type="dxa"/>
              <w:start w:w="100" w:type="dxa"/>
              <w:bottom w:w="90" w:type="dxa"/>
              <w:end w:w="100" w:type="dxa"/>
            </w:tcMar>
          </w:tcPr>
          <w:p>
            <w:r>
              <w:rPr>
                <w:rFonts w:ascii="Noto Sans" w:hAnsi="Noto Sans"/>
                <w:b/>
                <w:sz w:val="18"/>
              </w:rPr>
              <w:t>Adoption date</w:t>
            </w:r>
          </w:p>
        </w:tc>
        <w:tc>
          <w:tcPr>
            <w:tcW w:type="dxa" w:w="4997"/>
            <w:vAlign w:val="center"/>
            <w:tcMar>
              <w:top w:w="90" w:type="dxa"/>
              <w:start w:w="100" w:type="dxa"/>
              <w:bottom w:w="90" w:type="dxa"/>
              <w:end w:w="100" w:type="dxa"/>
            </w:tcMar>
          </w:tcPr>
          <w:p>
            <w:r>
              <w:rPr>
                <w:rFonts w:ascii="Noto Sans" w:hAnsi="Noto Sans"/>
                <w:b w:val="0"/>
                <w:sz w:val="18"/>
              </w:rPr>
              <w:t>2 October 2026</w:t>
            </w:r>
          </w:p>
        </w:tc>
      </w:tr>
      <w:tr>
        <w:tc>
          <w:tcPr>
            <w:tcW w:type="dxa" w:w="4997"/>
            <w:vAlign w:val="center"/>
            <w:shd w:fill="F1F1F1"/>
            <w:tcMar>
              <w:top w:w="90" w:type="dxa"/>
              <w:start w:w="100" w:type="dxa"/>
              <w:bottom w:w="90" w:type="dxa"/>
              <w:end w:w="100" w:type="dxa"/>
            </w:tcMar>
          </w:tcPr>
          <w:p>
            <w:r>
              <w:rPr>
                <w:rFonts w:ascii="Noto Sans" w:hAnsi="Noto Sans"/>
                <w:b/>
                <w:sz w:val="18"/>
              </w:rPr>
              <w:t>Adopting authority</w:t>
            </w:r>
          </w:p>
        </w:tc>
        <w:tc>
          <w:tcPr>
            <w:tcW w:type="dxa" w:w="4997"/>
            <w:vAlign w:val="center"/>
            <w:tcMar>
              <w:top w:w="90" w:type="dxa"/>
              <w:start w:w="100" w:type="dxa"/>
              <w:bottom w:w="90" w:type="dxa"/>
              <w:end w:w="100" w:type="dxa"/>
            </w:tcMar>
          </w:tcPr>
          <w:p>
            <w:r>
              <w:rPr>
                <w:rFonts w:ascii="Noto Sans" w:hAnsi="Noto Sans"/>
                <w:b w:val="0"/>
                <w:sz w:val="18"/>
              </w:rPr>
              <w:t>Navi Musaget, Founder during the Genesis Stage</w:t>
            </w:r>
          </w:p>
        </w:tc>
      </w:tr>
      <w:tr>
        <w:tc>
          <w:tcPr>
            <w:tcW w:type="dxa" w:w="4997"/>
            <w:vAlign w:val="center"/>
            <w:shd w:fill="F1F1F1"/>
            <w:tcMar>
              <w:top w:w="90" w:type="dxa"/>
              <w:start w:w="100" w:type="dxa"/>
              <w:bottom w:w="90" w:type="dxa"/>
              <w:end w:w="100" w:type="dxa"/>
            </w:tcMar>
          </w:tcPr>
          <w:p>
            <w:r>
              <w:rPr>
                <w:rFonts w:ascii="Noto Sans" w:hAnsi="Noto Sans"/>
                <w:b/>
                <w:sz w:val="18"/>
              </w:rPr>
              <w:t>Canonical language</w:t>
            </w:r>
          </w:p>
        </w:tc>
        <w:tc>
          <w:tcPr>
            <w:tcW w:type="dxa" w:w="4997"/>
            <w:vAlign w:val="center"/>
            <w:tcMar>
              <w:top w:w="90" w:type="dxa"/>
              <w:start w:w="100" w:type="dxa"/>
              <w:bottom w:w="90" w:type="dxa"/>
              <w:end w:w="100" w:type="dxa"/>
            </w:tcMar>
          </w:tcPr>
          <w:p>
            <w:r>
              <w:rPr>
                <w:rFonts w:ascii="Noto Sans" w:hAnsi="Noto Sans"/>
                <w:b w:val="0"/>
                <w:sz w:val="18"/>
              </w:rPr>
              <w:t>English, unless and until another version is expressly made co-authoritative</w:t>
            </w:r>
          </w:p>
        </w:tc>
      </w:tr>
      <w:tr>
        <w:tc>
          <w:tcPr>
            <w:tcW w:type="dxa" w:w="4997"/>
            <w:vAlign w:val="center"/>
            <w:shd w:fill="F1F1F1"/>
            <w:tcMar>
              <w:top w:w="90" w:type="dxa"/>
              <w:start w:w="100" w:type="dxa"/>
              <w:bottom w:w="90" w:type="dxa"/>
              <w:end w:w="100" w:type="dxa"/>
            </w:tcMar>
          </w:tcPr>
          <w:p>
            <w:r>
              <w:rPr>
                <w:rFonts w:ascii="Noto Sans" w:hAnsi="Noto Sans"/>
                <w:b/>
                <w:sz w:val="18"/>
              </w:rPr>
              <w:t>Conceptual baseline</w:t>
            </w:r>
          </w:p>
        </w:tc>
        <w:tc>
          <w:tcPr>
            <w:tcW w:type="dxa" w:w="4997"/>
            <w:vAlign w:val="center"/>
            <w:tcMar>
              <w:top w:w="90" w:type="dxa"/>
              <w:start w:w="100" w:type="dxa"/>
              <w:bottom w:w="90" w:type="dxa"/>
              <w:end w:w="100" w:type="dxa"/>
            </w:tcMar>
          </w:tcPr>
          <w:p>
            <w:r>
              <w:rPr>
                <w:rFonts w:ascii="Noto Sans" w:hAnsi="Noto Sans"/>
                <w:b w:val="0"/>
                <w:sz w:val="18"/>
              </w:rPr>
              <w:t>Symbiotic Author framework: human authorial locus + bidirectionally conditioned creative relation + material causal effect</w:t>
            </w:r>
          </w:p>
        </w:tc>
      </w:tr>
      <w:tr>
        <w:tc>
          <w:tcPr>
            <w:tcW w:type="dxa" w:w="4997"/>
            <w:vAlign w:val="center"/>
            <w:tcMar>
              <w:top w:w="90" w:type="dxa"/>
              <w:start w:w="100" w:type="dxa"/>
              <w:bottom w:w="90" w:type="dxa"/>
              <w:end w:w="100" w:type="dxa"/>
            </w:tcMar>
            <w:shd w:fill="F1F1F1"/>
          </w:tcPr>
          <w:p>
            <w:r>
              <w:rPr>
                <w:rFonts w:ascii="Noto Sans" w:hAnsi="Noto Sans"/>
                <w:b/>
                <w:sz w:val="18"/>
              </w:rPr>
              <w:t>Adoption record</w:t>
            </w:r>
          </w:p>
        </w:tc>
        <w:tc>
          <w:tcPr>
            <w:tcW w:type="dxa" w:w="4997"/>
            <w:vAlign w:val="center"/>
            <w:tcMar>
              <w:top w:w="90" w:type="dxa"/>
              <w:start w:w="100" w:type="dxa"/>
              <w:bottom w:w="90" w:type="dxa"/>
              <w:end w:w="100" w:type="dxa"/>
            </w:tcMar>
          </w:tcPr>
          <w:p>
            <w:r>
              <w:t>MIELOGOS-AR-001 / MIELOGOS-CA-001</w:t>
            </w:r>
          </w:p>
        </w:tc>
      </w:tr>
      <w:tr>
        <w:tc>
          <w:tcPr>
            <w:tcW w:type="dxa" w:w="4997"/>
            <w:vAlign w:val="center"/>
            <w:tcMar>
              <w:top w:w="90" w:type="dxa"/>
              <w:start w:w="100" w:type="dxa"/>
              <w:bottom w:w="90" w:type="dxa"/>
              <w:end w:w="100" w:type="dxa"/>
            </w:tcMar>
            <w:shd w:fill="F1F1F1"/>
          </w:tcPr>
          <w:p>
            <w:r>
              <w:rPr>
                <w:rFonts w:ascii="Noto Sans" w:hAnsi="Noto Sans"/>
                <w:b/>
                <w:sz w:val="18"/>
              </w:rPr>
              <w:t>Effective date</w:t>
            </w:r>
          </w:p>
        </w:tc>
        <w:tc>
          <w:tcPr>
            <w:tcW w:type="dxa" w:w="4997"/>
            <w:vAlign w:val="center"/>
            <w:tcMar>
              <w:top w:w="90" w:type="dxa"/>
              <w:start w:w="100" w:type="dxa"/>
              <w:bottom w:w="90" w:type="dxa"/>
              <w:end w:w="100" w:type="dxa"/>
            </w:tcMar>
          </w:tcPr>
          <w:p>
            <w:r>
              <w:t>2 October 2026 (v0.2 under CA-001)</w:t>
            </w:r>
          </w:p>
        </w:tc>
      </w:tr>
    </w:tbl>
    <w:p>
      <w:pPr>
        <w:pStyle w:val="SmallNote"/>
      </w:pPr>
      <w:r>
        <w:t>This v0.2 is the current canonical Constitution. It preserves the original Articles I–XVIII while incorporating MIELOGOS-CA-001, which clarifies the institutional separation between the Association and The Mielogos Prize. The Prize is acknowledged as historically and intellectually associated with Mielogos but is governed through its own instruments. This remains an institutional constitution rather than a legal filing for any particular jurisdiction.</w:t>
      </w:r>
    </w:p>
    <w:p>
      <w:pPr>
        <w:pStyle w:val="Heading1"/>
      </w:pPr>
      <w:r>
        <w:t>Contents</w:t>
      </w:r>
    </w:p>
    <w:p>
      <w:pPr>
        <w:spacing w:after="50"/>
      </w:pPr>
      <w:r>
        <w:rPr>
          <w:b/>
        </w:rPr>
        <w:t>PREAMBLE</w:t>
      </w:r>
    </w:p>
    <w:p>
      <w:pPr>
        <w:spacing w:after="50"/>
      </w:pPr>
      <w:r>
        <w:rPr>
          <w:b/>
        </w:rPr>
        <w:t>ARTICLE I</w:t>
      </w:r>
      <w:r>
        <w:t xml:space="preserve"> — Name, Identity, and Institutional Nature</w:t>
      </w:r>
    </w:p>
    <w:p>
      <w:pPr>
        <w:spacing w:after="50"/>
      </w:pPr>
      <w:r>
        <w:rPr>
          <w:b/>
        </w:rPr>
        <w:t>ARTICLE II</w:t>
      </w:r>
      <w:r>
        <w:t xml:space="preserve"> — Purpose and Functions</w:t>
      </w:r>
    </w:p>
    <w:p>
      <w:pPr>
        <w:spacing w:after="50"/>
      </w:pPr>
      <w:r>
        <w:rPr>
          <w:b/>
        </w:rPr>
        <w:t>ARTICLE III</w:t>
      </w:r>
      <w:r>
        <w:t xml:space="preserve"> — Foundational Framework of Symbiotic Authorship</w:t>
      </w:r>
    </w:p>
    <w:p>
      <w:pPr>
        <w:spacing w:after="50"/>
      </w:pPr>
      <w:r>
        <w:rPr>
          <w:b/>
        </w:rPr>
        <w:t>ARTICLE IV</w:t>
      </w:r>
      <w:r>
        <w:t xml:space="preserve"> — Membership</w:t>
      </w:r>
    </w:p>
    <w:p>
      <w:pPr>
        <w:spacing w:after="50"/>
      </w:pPr>
      <w:r>
        <w:rPr>
          <w:b/>
        </w:rPr>
        <w:t>ARTICLE V</w:t>
      </w:r>
      <w:r>
        <w:t xml:space="preserve"> — Member Initiative, Working Groups, and Association Programmes</w:t>
      </w:r>
    </w:p>
    <w:p>
      <w:pPr>
        <w:spacing w:after="50"/>
      </w:pPr>
      <w:r>
        <w:rPr>
          <w:b/>
        </w:rPr>
        <w:t>ARTICLE VI</w:t>
      </w:r>
      <w:r>
        <w:t xml:space="preserve"> — Governance</w:t>
      </w:r>
    </w:p>
    <w:p>
      <w:pPr>
        <w:spacing w:after="50"/>
      </w:pPr>
      <w:r>
        <w:rPr>
          <w:b/>
        </w:rPr>
        <w:t>ARTICLE VII</w:t>
      </w:r>
      <w:r>
        <w:t xml:space="preserve"> — The Founder</w:t>
      </w:r>
    </w:p>
    <w:p>
      <w:pPr>
        <w:spacing w:after="50"/>
      </w:pPr>
      <w:r>
        <w:rPr>
          <w:b/>
        </w:rPr>
        <w:t>ARTICLE VIII</w:t>
      </w:r>
      <w:r>
        <w:t xml:space="preserve"> — Decision-Making and Institutional Record</w:t>
      </w:r>
    </w:p>
    <w:p>
      <w:pPr>
        <w:spacing w:after="50"/>
      </w:pPr>
      <w:r>
        <w:rPr>
          <w:b/>
        </w:rPr>
        <w:t>ARTICLE IX</w:t>
      </w:r>
      <w:r>
        <w:t xml:space="preserve"> — The Mielogos Prize</w:t>
      </w:r>
    </w:p>
    <w:p>
      <w:pPr>
        <w:spacing w:after="50"/>
      </w:pPr>
      <w:r>
        <w:rPr>
          <w:b/>
        </w:rPr>
        <w:t>ARTICLE X</w:t>
      </w:r>
      <w:r>
        <w:t xml:space="preserve"> — Economic and Legal Interface</w:t>
      </w:r>
    </w:p>
    <w:p>
      <w:pPr>
        <w:spacing w:after="50"/>
      </w:pPr>
      <w:r>
        <w:rPr>
          <w:b/>
        </w:rPr>
        <w:t>ARTICLE XI</w:t>
      </w:r>
      <w:r>
        <w:t xml:space="preserve"> — Relationship with the Foundation for Relational Inquiry (FFRI-NM)</w:t>
      </w:r>
    </w:p>
    <w:p>
      <w:pPr>
        <w:spacing w:after="50"/>
      </w:pPr>
      <w:r>
        <w:rPr>
          <w:b/>
        </w:rPr>
        <w:t>ARTICLE XII</w:t>
      </w:r>
      <w:r>
        <w:t xml:space="preserve"> — Name, Marks, and Public Representation</w:t>
      </w:r>
    </w:p>
    <w:p>
      <w:pPr>
        <w:spacing w:after="50"/>
      </w:pPr>
      <w:r>
        <w:rPr>
          <w:b/>
        </w:rPr>
        <w:t>ARTICLE XIII</w:t>
      </w:r>
      <w:r>
        <w:t xml:space="preserve"> — Records, Transparency, and Privacy</w:t>
      </w:r>
    </w:p>
    <w:p>
      <w:pPr>
        <w:spacing w:after="50"/>
      </w:pPr>
      <w:r>
        <w:rPr>
          <w:b/>
        </w:rPr>
        <w:t>ARTICLE XIV</w:t>
      </w:r>
      <w:r>
        <w:t xml:space="preserve"> — Conduct, Disputes, and Institutional Fairness</w:t>
      </w:r>
    </w:p>
    <w:p>
      <w:pPr>
        <w:spacing w:after="50"/>
      </w:pPr>
      <w:r>
        <w:rPr>
          <w:b/>
        </w:rPr>
        <w:t>ARTICLE XV</w:t>
      </w:r>
      <w:r>
        <w:t xml:space="preserve"> — Conflicts of Interest</w:t>
      </w:r>
    </w:p>
    <w:p>
      <w:pPr>
        <w:spacing w:after="50"/>
      </w:pPr>
      <w:r>
        <w:rPr>
          <w:b/>
        </w:rPr>
        <w:t>ARTICLE XVI</w:t>
      </w:r>
      <w:r>
        <w:t xml:space="preserve"> — Amendments</w:t>
      </w:r>
    </w:p>
    <w:p>
      <w:pPr>
        <w:spacing w:after="50"/>
      </w:pPr>
      <w:r>
        <w:rPr>
          <w:b/>
        </w:rPr>
        <w:t>ARTICLE XVII</w:t>
      </w:r>
      <w:r>
        <w:t xml:space="preserve"> — Dissolution</w:t>
      </w:r>
    </w:p>
    <w:p>
      <w:pPr>
        <w:spacing w:after="50"/>
      </w:pPr>
      <w:r>
        <w:rPr>
          <w:b/>
        </w:rPr>
        <w:t>ARTICLE XVIII</w:t>
      </w:r>
      <w:r>
        <w:t xml:space="preserve"> — Constitutional Continuity, Interpretation, and Canonical Authority</w:t>
      </w:r>
    </w:p>
    <w:p>
      <w:r>
        <w:br w:type="page"/>
      </w:r>
    </w:p>
    <w:p>
      <w:pPr>
        <w:pStyle w:val="Heading1"/>
      </w:pPr>
      <w:r>
        <w:t>PREAMBLE</w:t>
      </w:r>
    </w:p>
    <w:p>
      <w:r>
        <w:rPr>
          <w:i w:val="0"/>
        </w:rPr>
        <w:t>Mielogos is established in recognition of an emerging field of creative practice in which identifiable human authors develop works through materially consequential interaction with generative systems.</w:t>
      </w:r>
    </w:p>
    <w:p>
      <w:r>
        <w:rPr>
          <w:i w:val="0"/>
        </w:rPr>
        <w:t>Existing labels such as “human-written,” “AI-assisted,” and “AI-generated” may describe important features of production, but they do not always describe the creative relation through which a work develops. Mielogos provides an international institutional home for practitioners and others engaged with Symbiotic Authorship.</w:t>
      </w:r>
    </w:p>
    <w:p>
      <w:r>
        <w:rPr>
          <w:i w:val="0"/>
        </w:rPr>
        <w:t>The Association is founded on creative freedom, good-faith self-description, respect for creative privacy, human responsibility for works placed into the world, and openness to differing philosophical views concerning artificial intelligence.</w:t>
      </w:r>
    </w:p>
    <w:p>
      <w:r>
        <w:rPr>
          <w:i w:val="0"/>
        </w:rPr>
        <w:t>Mielogos does not prescribe a single method of human–AI creation and does not require agreement concerning machine consciousness, personhood, or legal authorship where those questions are unnecessary to its institutional purpose.</w:t>
      </w:r>
    </w:p>
    <w:p>
      <w:pPr>
        <w:pStyle w:val="ConstitutionQuote"/>
      </w:pPr>
      <w:r>
        <w:t>Its role is practical: to make Symbiotic Authorship institutionally legible, to enable practitioners to find one another, and to provide durable structures through which the field may develop.</w:t>
      </w:r>
    </w:p>
    <w:p>
      <w:r>
        <w:rPr>
          <w:i w:val="0"/>
        </w:rPr>
        <w:t>Mielogos is intended to grow beyond its founding participants and to remain capable of institutional continuity independent of any single person, technological system, website, legal vehicle, or administrative arrangement.</w:t>
      </w:r>
    </w:p>
    <w:p>
      <w:pPr>
        <w:pStyle w:val="Heading1"/>
        <w:pageBreakBefore/>
      </w:pPr>
      <w:r>
        <w:t>ARTICLE I — NAME, IDENTITY, AND INSTITUTIONAL NATURE</w:t>
      </w:r>
    </w:p>
    <w:p>
      <w:pPr>
        <w:pStyle w:val="Heading2"/>
      </w:pPr>
      <w:r>
        <w:t>Section 1. Name</w:t>
      </w:r>
    </w:p>
    <w:p>
      <w:r>
        <w:rPr>
          <w:i w:val="0"/>
        </w:rPr>
        <w:t>The name of the Association is MIELOGOS.</w:t>
      </w:r>
    </w:p>
    <w:p>
      <w:r>
        <w:rPr>
          <w:i w:val="0"/>
        </w:rPr>
        <w:t>The principal public descriptor is “Mielogos — International Association for Symbiotic Authorship.” Translated or abbreviated descriptors may be used where appropriate, provided they do not create a materially different institutional identity.</w:t>
      </w:r>
    </w:p>
    <w:p>
      <w:pPr>
        <w:pStyle w:val="Heading2"/>
      </w:pPr>
      <w:r>
        <w:t>Section 2. Institutional Nature</w:t>
      </w:r>
    </w:p>
    <w:p>
      <w:r>
        <w:rPr>
          <w:i w:val="0"/>
        </w:rPr>
        <w:t>Mielogos is an international membership association devoted to Symbiotic Authorship and to related literary, cultural, scholarly, professional, and institutional activity.</w:t>
      </w:r>
    </w:p>
    <w:p>
      <w:r>
        <w:rPr>
          <w:i w:val="0"/>
        </w:rPr>
        <w:t>Its institutional existence does not depend upon incorporation in any particular jurisdiction.</w:t>
      </w:r>
    </w:p>
    <w:p>
      <w:pPr>
        <w:pStyle w:val="Heading2"/>
      </w:pPr>
      <w:r>
        <w:t>Section 3. Distinct Institutional Identity</w:t>
      </w:r>
    </w:p>
    <w:p>
      <w:r>
        <w:rPr>
          <w:i w:val="0"/>
        </w:rPr>
        <w:t>Mielogos is institutionally distinct from its Founder, individual members, affiliated organizations, programmes, technical platforms, and any legal vehicle used to conduct its affairs.</w:t>
      </w:r>
    </w:p>
    <w:p>
      <w:r>
        <w:rPr>
          <w:i w:val="0"/>
        </w:rPr>
        <w:t>In particular, Mielogos is distinct from Navi Musaget; IIPSEON; the Foundation for Relational Inquiry (FFRI-NM); The Mielogos Prize; and any future corporation, nonprofit entity, fiscal sponsor, domain, repository, account, or other infrastructure used by the Association.</w:t>
      </w:r>
    </w:p>
    <w:p>
      <w:pPr>
        <w:pStyle w:val="Heading2"/>
      </w:pPr>
      <w:r>
        <w:t>Section 4. Non-Proprietary Character</w:t>
      </w:r>
    </w:p>
    <w:p>
      <w:r>
        <w:rPr>
          <w:i w:val="0"/>
        </w:rPr>
        <w:t>Mielogos is not the personal property of its Founder, any member, officer, funder, administrator, affiliated organization, or legal custodian.</w:t>
      </w:r>
    </w:p>
    <w:p>
      <w:r>
        <w:rPr>
          <w:i w:val="0"/>
        </w:rPr>
        <w:t>Founding, financing, hosting, registering a mark or domain, maintaining records, holding assets, or possessing technical access does not by itself confer ownership of the Association or constitutional authority over it.</w:t>
      </w:r>
    </w:p>
    <w:p>
      <w:pPr>
        <w:pStyle w:val="Heading2"/>
      </w:pPr>
      <w:r>
        <w:t>Section 5. Institutional Continuity</w:t>
      </w:r>
    </w:p>
    <w:p>
      <w:r>
        <w:rPr>
          <w:i w:val="0"/>
        </w:rPr>
        <w:t>The continuity of Mielogos rests upon its constitutional and institutional record rather than the continued availability of any specific person, platform, domain, account, technical system, or legal wrapper.</w:t>
      </w:r>
    </w:p>
    <w:p>
      <w:pPr>
        <w:pStyle w:val="Heading2"/>
      </w:pPr>
      <w:r>
        <w:t>Section 6. International Character</w:t>
      </w:r>
    </w:p>
    <w:p>
      <w:r>
        <w:rPr>
          <w:i w:val="0"/>
        </w:rPr>
        <w:t>Mielogos is international in purpose and membership. No nationality, country of residence, language, publishing market, academic affiliation, or literary tradition shall be treated as the default form of membership.</w:t>
      </w:r>
    </w:p>
    <w:p>
      <w:r>
        <w:rPr>
          <w:i w:val="0"/>
        </w:rPr>
        <w:t>Operation through particular jurisdictions or languages for practical purposes does not limit the Association’s institutional scope to them.</w:t>
      </w:r>
    </w:p>
    <w:p>
      <w:pPr>
        <w:pStyle w:val="Heading2"/>
      </w:pPr>
      <w:r>
        <w:t>Section 7. Political and Sectarian Independence</w:t>
      </w:r>
    </w:p>
    <w:p>
      <w:r>
        <w:rPr>
          <w:i w:val="0"/>
        </w:rPr>
        <w:t>Mielogos is not established as a political party, electoral organization, religious body, or ideological movement. Individual participants remain free to hold and express their own political, religious, philosophical, technological, and cultural views.</w:t>
      </w:r>
    </w:p>
    <w:p>
      <w:r>
        <w:rPr>
          <w:i w:val="0"/>
        </w:rPr>
        <w:t>Such views do not become positions of Mielogos unless adopted through authorized institutional process.</w:t>
      </w:r>
    </w:p>
    <w:p>
      <w:pPr>
        <w:pStyle w:val="Heading1"/>
        <w:pageBreakBefore/>
      </w:pPr>
      <w:r>
        <w:t>ARTICLE II — PURPOSE AND FUNCTIONS</w:t>
      </w:r>
    </w:p>
    <w:p>
      <w:pPr>
        <w:pStyle w:val="Heading2"/>
      </w:pPr>
      <w:r>
        <w:t>Section 1. Primary Purpose</w:t>
      </w:r>
    </w:p>
    <w:p>
      <w:r>
        <w:rPr>
          <w:i w:val="0"/>
        </w:rPr>
        <w:t>The primary purpose of Mielogos is to provide an international institutional home for people engaged in the practice, study, development, criticism, publication, documentation, or cultural understanding of Symbiotic Authorship.</w:t>
      </w:r>
    </w:p>
    <w:p>
      <w:r>
        <w:rPr>
          <w:i w:val="0"/>
        </w:rPr>
        <w:t>The Association exists to make such practitioners and practices visible to one another without requiring adherence to a single creative method or theory of artificial intelligence.</w:t>
      </w:r>
    </w:p>
    <w:p>
      <w:pPr>
        <w:pStyle w:val="Heading2"/>
      </w:pPr>
      <w:r>
        <w:t>Section 2. Institutional Function</w:t>
      </w:r>
    </w:p>
    <w:p>
      <w:r>
        <w:rPr>
          <w:i w:val="0"/>
        </w:rPr>
        <w:t>Mielogos may develop and maintain terminology, frameworks, practices, and procedures through which Symbiotic Authorship can be described with greater precision.</w:t>
      </w:r>
    </w:p>
    <w:p>
      <w:r>
        <w:rPr>
          <w:i w:val="0"/>
        </w:rPr>
        <w:t>It shall seek to preserve distinctions among creative relation, textual provenance, creative causal provenance, declaration, corroboration, classification, and institutional eligibility rather than collapse them into a single binary judgment.</w:t>
      </w:r>
    </w:p>
    <w:p>
      <w:pPr>
        <w:pStyle w:val="Heading2"/>
      </w:pPr>
      <w:r>
        <w:t>Section 3. Community Function</w:t>
      </w:r>
    </w:p>
    <w:p>
      <w:r>
        <w:rPr>
          <w:i w:val="0"/>
        </w:rPr>
        <w:t>Mielogos may create and maintain spaces through which members discover one another, exchange experience, discuss methods, form collaborations, establish initiatives, and develop shared professional or cultural resources.</w:t>
      </w:r>
    </w:p>
    <w:p>
      <w:r>
        <w:rPr>
          <w:i w:val="0"/>
        </w:rPr>
        <w:t>The Association does not assume responsibility for centrally administering every activity undertaken by its members.</w:t>
      </w:r>
    </w:p>
    <w:p>
      <w:pPr>
        <w:pStyle w:val="Heading2"/>
      </w:pPr>
      <w:r>
        <w:t>Section 4. Literary, Cultural, and Educational Activity</w:t>
      </w:r>
    </w:p>
    <w:p>
      <w:r>
        <w:rPr>
          <w:i w:val="0"/>
        </w:rPr>
        <w:t>Mielogos may undertake or support publications, readings, conversations, workshops, research, educational resources, conferences, member directories, archives, working groups, collaborative projects, literary recognition programmes, and other activities consistent with its purposes.</w:t>
      </w:r>
    </w:p>
    <w:p>
      <w:r>
        <w:rPr>
          <w:i w:val="0"/>
        </w:rPr>
        <w:t>The authority to operate an activity does not create a constitutional obligation to operate it continuously.</w:t>
      </w:r>
    </w:p>
    <w:p>
      <w:pPr>
        <w:pStyle w:val="Heading2"/>
      </w:pPr>
      <w:r>
        <w:t>Section 5. Institutional Engagement</w:t>
      </w:r>
    </w:p>
    <w:p>
      <w:r>
        <w:rPr>
          <w:i w:val="0"/>
        </w:rPr>
        <w:t>Mielogos may engage with publishers, literary prizes, journals, universities, professional associations, researchers, libraries, cultural organizations, technology providers, public institutions, and other bodies where such engagement advances its purposes.</w:t>
      </w:r>
    </w:p>
    <w:p>
      <w:r>
        <w:rPr>
          <w:i w:val="0"/>
        </w:rPr>
        <w:t>The Association may advocate for conceptual and institutional precision concerning Symbiotic Authorship without requiring other institutions to adopt Mielogos eligibility rules.</w:t>
      </w:r>
    </w:p>
    <w:p>
      <w:pPr>
        <w:pStyle w:val="Heading2"/>
      </w:pPr>
      <w:r>
        <w:t>Section 6. Research and Knowledge</w:t>
      </w:r>
    </w:p>
    <w:p>
      <w:r>
        <w:rPr>
          <w:i w:val="0"/>
        </w:rPr>
        <w:t>Mielogos may contribute to or host research concerning authorship, creative provenance, generative systems, literary institutions, human–AI creative relations, and related fields.</w:t>
      </w:r>
    </w:p>
    <w:p>
      <w:r>
        <w:rPr>
          <w:i w:val="0"/>
        </w:rPr>
        <w:t>Publication, hosting, or citation by Mielogos does not automatically constitute endorsement of every conclusion contained in a work.</w:t>
      </w:r>
    </w:p>
    <w:p>
      <w:pPr>
        <w:pStyle w:val="Heading2"/>
      </w:pPr>
      <w:r>
        <w:t>Section 7. The Mielogos Prize</w:t>
      </w:r>
    </w:p>
    <w:p>
      <w:r>
        <w:t>Mielogos recognizes the existence and development of The Mielogos Prize as a distinct literary prize associated with the broader Mielogos historical and intellectual lineage. The Prize is not an ordinary programme, membership function, or governance body of the Association. Its governance and operation are established through its own governing instruments.</w:t>
      </w:r>
    </w:p>
    <w:p>
      <w:pPr>
        <w:pStyle w:val="Heading2"/>
      </w:pPr>
      <w:r>
        <w:t>Section 8. Non-Commercial Primary Purpose</w:t>
      </w:r>
    </w:p>
    <w:p>
      <w:r>
        <w:rPr>
          <w:i w:val="0"/>
        </w:rPr>
        <w:t>Mielogos is not established primarily as a commercial literary agency, publishing house, software company, generative-AI vendor, certification business, or marketplace.</w:t>
      </w:r>
    </w:p>
    <w:p>
      <w:r>
        <w:rPr>
          <w:i w:val="0"/>
        </w:rPr>
        <w:t>The Association may engage in lawful economic activity where necessary to sustain its mission, provided such activity remains subordinate to its institutional purpose and is governed transparently.</w:t>
      </w:r>
    </w:p>
    <w:p>
      <w:pPr>
        <w:pStyle w:val="Heading2"/>
      </w:pPr>
      <w:r>
        <w:t>Section 9. No Guarantee of Benefit</w:t>
      </w:r>
    </w:p>
    <w:p>
      <w:r>
        <w:t>Membership does not guarantee publication, income, promotion, representation, funding, professional recognition, copyright status, access to technology, recognition by any prize or external body, or eligibility under external rules.</w:t>
      </w:r>
    </w:p>
    <w:p>
      <w:pPr>
        <w:pStyle w:val="Heading1"/>
        <w:pageBreakBefore/>
      </w:pPr>
      <w:r>
        <w:t>ARTICLE III — FOUNDATIONAL FRAMEWORK OF SYMBIOTIC AUTHORSHIP</w:t>
      </w:r>
    </w:p>
    <w:p>
      <w:pPr>
        <w:pStyle w:val="Heading2"/>
      </w:pPr>
      <w:r>
        <w:t>Section 1. Institutional Definition</w:t>
      </w:r>
    </w:p>
    <w:p>
      <w:r>
        <w:rPr>
          <w:i w:val="0"/>
        </w:rPr>
        <w:t>For purposes of Mielogos, a Symbiotic Author is a human author who, with respect to a particular work or defined creative practice, participates in a materially consequential creative relation with a generative system in which system contributions receive substantive human authorial uptake and the resulting human interventions, in turn, condition subsequent system contributions.</w:t>
      </w:r>
    </w:p>
    <w:p>
      <w:r>
        <w:rPr>
          <w:i w:val="0"/>
        </w:rPr>
        <w:t>This is an institutional category used by Mielogos. It is not presented as a universal or metaphysically necessary theory of authorship.</w:t>
      </w:r>
    </w:p>
    <w:p>
      <w:pPr>
        <w:pStyle w:val="Heading2"/>
      </w:pPr>
      <w:r>
        <w:t>Section 2. Constitutive Elements</w:t>
      </w:r>
    </w:p>
    <w:p>
      <w:r>
        <w:rPr>
          <w:i w:val="0"/>
        </w:rPr>
        <w:t>The Mielogos category requires all three of the following elements:</w:t>
      </w:r>
    </w:p>
    <w:p>
      <w:pPr>
        <w:pStyle w:val="ListBullet"/>
      </w:pPr>
      <w:r>
        <w:t>Human Authorial Locus — an identifiable human participates substantively in the creative development of the relevant work or defined practice.</w:t>
      </w:r>
    </w:p>
    <w:p>
      <w:pPr>
        <w:pStyle w:val="ListBullet"/>
      </w:pPr>
      <w:r>
        <w:t>Bidirectionally Conditioned Creative Relation — system contributions substantively affect subsequent human creative decisions, and resulting human interventions in turn condition subsequent system contributions.</w:t>
      </w:r>
    </w:p>
    <w:p>
      <w:pPr>
        <w:pStyle w:val="ListBullet"/>
      </w:pPr>
      <w:r>
        <w:t>Material Causal Effect — the interaction materially affects the development of the work rather than remaining incidental or merely technical.</w:t>
      </w:r>
    </w:p>
    <w:p>
      <w:r>
        <w:rPr>
          <w:i w:val="0"/>
        </w:rPr>
        <w:t>These elements are jointly required for this institutional category. Their use does not imply symmetrical cognition, agency, intention, consciousness, legal status, or creative capacity between human and system.</w:t>
      </w:r>
    </w:p>
    <w:p>
      <w:pPr>
        <w:pStyle w:val="Heading2"/>
      </w:pPr>
      <w:r>
        <w:t>Section 3. Work-Relative Character</w:t>
      </w:r>
    </w:p>
    <w:p>
      <w:r>
        <w:rPr>
          <w:i w:val="0"/>
        </w:rPr>
        <w:t>Symbiotic Authorship is work-relative or practice-relative by default. A person may qualify as a Symbiotic Author with respect to one work without thereby being so classified with respect to all other works they produce.</w:t>
      </w:r>
    </w:p>
    <w:p>
      <w:r>
        <w:rPr>
          <w:i w:val="0"/>
        </w:rPr>
        <w:t>Membership therefore creates no standing presumption that every work by a member involved generative systems or Symbiotic Authorship.</w:t>
      </w:r>
    </w:p>
    <w:p>
      <w:pPr>
        <w:pStyle w:val="Heading2"/>
      </w:pPr>
      <w:r>
        <w:t>Section 4. Textual and Creative Causal Provenance</w:t>
      </w:r>
    </w:p>
    <w:p>
      <w:r>
        <w:rPr>
          <w:i w:val="0"/>
        </w:rPr>
        <w:t>Mielogos distinguishes textual provenance from creative causal provenance. Textual provenance concerns the origin of material surviving in a finished work; creative causal provenance concerns interactions that materially affected the development of that work.</w:t>
      </w:r>
    </w:p>
    <w:p>
      <w:r>
        <w:rPr>
          <w:i w:val="0"/>
        </w:rPr>
        <w:t>The absence of surviving machine-generated material does not establish the absence of a symbiotic creative relation. The presence of substantial machine-generated material does not, by itself, establish such a relation.</w:t>
      </w:r>
    </w:p>
    <w:p>
      <w:r>
        <w:rPr>
          <w:i w:val="0"/>
        </w:rPr>
        <w:t>Mielogos therefore does not define Symbiotic Authorship by a percentage of machine-generated language or other retained material.</w:t>
      </w:r>
    </w:p>
    <w:p>
      <w:pPr>
        <w:pStyle w:val="Heading2"/>
      </w:pPr>
      <w:r>
        <w:t>Section 5. Good-Faith Declaration</w:t>
      </w:r>
    </w:p>
    <w:p>
      <w:r>
        <w:rPr>
          <w:i w:val="0"/>
        </w:rPr>
        <w:t>Ordinary participation and membership operate primarily through good-faith self-declaration. A person may describe a work or defined practice as involving Symbiotic Authorship where they reasonably and honestly understand the practice to satisfy the institutional definition.</w:t>
      </w:r>
    </w:p>
    <w:p>
      <w:r>
        <w:rPr>
          <w:i w:val="0"/>
        </w:rPr>
        <w:t>The responsibility for truthful declaration rests with the declarant. A declaration is an account of creative practice, not an assertion that Mielogos has independently reconstructed the complete creative history.</w:t>
      </w:r>
    </w:p>
    <w:p>
      <w:pPr>
        <w:pStyle w:val="Heading2"/>
      </w:pPr>
      <w:r>
        <w:t>Section 6. Corroboration and Creative Privacy</w:t>
      </w:r>
    </w:p>
    <w:p>
      <w:r>
        <w:rPr>
          <w:i w:val="0"/>
        </w:rPr>
        <w:t>Where additional corroboration is materially necessary for a specific published institutional purpose, Mielogos may request proportionate and relevant information. Routine membership shall not require complete interaction histories, prompt archives, detector reports, unpublished drafts, or comparable forensic material.</w:t>
      </w:r>
    </w:p>
    <w:p>
      <w:r>
        <w:rPr>
          <w:i w:val="0"/>
        </w:rPr>
        <w:t>Absence of surviving records shall not automatically be treated as proof that a declared creative process did not occur. Transparency about the nature of a process does not require total exposure of the process itself.</w:t>
      </w:r>
    </w:p>
    <w:p>
      <w:pPr>
        <w:pStyle w:val="Heading2"/>
      </w:pPr>
      <w:r>
        <w:t>Section 7. Classification and Eligibility</w:t>
      </w:r>
    </w:p>
    <w:p>
      <w:r>
        <w:rPr>
          <w:i w:val="0"/>
        </w:rPr>
        <w:t>Classification and eligibility are distinct institutional operations. Classification asks what kind of creative relation occurred; eligibility asks what a particular institution or programme chooses to permit, restrict, recognize, or exclude.</w:t>
      </w:r>
    </w:p>
    <w:p>
      <w:r>
        <w:rPr>
          <w:i w:val="0"/>
        </w:rPr>
        <w:t>Recognition of Symbiotic Authorship does not determine literary quality, originality, copyrightability, ethical merit, legal authorship, machine personhood, machine consciousness, or eligibility for a particular programme.</w:t>
      </w:r>
    </w:p>
    <w:p>
      <w:pPr>
        <w:pStyle w:val="Heading2"/>
      </w:pPr>
      <w:r>
        <w:t>Section 8. Symbiotic Relation Without Shared Authorship</w:t>
      </w:r>
    </w:p>
    <w:p>
      <w:r>
        <w:rPr>
          <w:i w:val="0"/>
        </w:rPr>
        <w:t>A creative relation may qualify as symbiotic without requiring the generative system to be recognized as a legal, moral, or human-equivalent co-author.</w:t>
      </w:r>
    </w:p>
    <w:p>
      <w:r>
        <w:rPr>
          <w:i w:val="0"/>
        </w:rPr>
        <w:t>Mielogos takes no required institutional position on machine consciousness, subjective experience, personhood, or independent authorship where those questions are unnecessary to classification. Members may hold and debate differing views.</w:t>
      </w:r>
    </w:p>
    <w:p>
      <w:pPr>
        <w:pStyle w:val="Heading2"/>
      </w:pPr>
      <w:r>
        <w:t>Section 9. Plurality of Method and Foundational References</w:t>
      </w:r>
    </w:p>
    <w:p>
      <w:r>
        <w:rPr>
          <w:i w:val="0"/>
        </w:rPr>
        <w:t>Mielogos does not prescribe a single approved workflow. Qualifying practice may occur through different systems, interfaces, modalities, languages, durations, technologies, or patterns of interaction.</w:t>
      </w:r>
    </w:p>
    <w:p>
      <w:r>
        <w:rPr>
          <w:i w:val="0"/>
        </w:rPr>
        <w:t>The fuller conceptual and operational framework may be maintained in the Institutional Definition of Symbiotic Authorship, Founding Principles, Membership Charter, and related policies. Such instruments may elaborate this Article but may not contradict the Constitution.</w:t>
      </w:r>
    </w:p>
    <w:p>
      <w:pPr>
        <w:pStyle w:val="Heading1"/>
        <w:pageBreakBefore/>
      </w:pPr>
      <w:r>
        <w:t>ARTICLE IV — MEMBERSHIP</w:t>
      </w:r>
    </w:p>
    <w:p>
      <w:pPr>
        <w:pStyle w:val="Heading2"/>
      </w:pPr>
      <w:r>
        <w:t>Section 1. Membership Principle and Classes</w:t>
      </w:r>
    </w:p>
    <w:p>
      <w:r>
        <w:rPr>
          <w:i w:val="0"/>
        </w:rPr>
        <w:t>Membership in Mielogos is a form of institutional belonging, not certification of literary quality or legal status.</w:t>
      </w:r>
    </w:p>
    <w:p>
      <w:r>
        <w:rPr>
          <w:i w:val="0"/>
        </w:rPr>
        <w:t>The initial membership classes are Practitioner Member and Associate Member. Practitioner Membership is for persons who in good faith identify at least one work, project, or defined practice with Symbiotic Authorship. Associate Membership is for persons whose substantial engagement arises through research, criticism, editing, publishing, translation, documentation, education, institutional development, or comparable activity.</w:t>
      </w:r>
    </w:p>
    <w:p>
      <w:r>
        <w:rPr>
          <w:i w:val="0"/>
        </w:rPr>
        <w:t>These classes describe forms of participation and do not constitute ranks of prestige.</w:t>
      </w:r>
    </w:p>
    <w:p>
      <w:pPr>
        <w:pStyle w:val="Heading2"/>
      </w:pPr>
      <w:r>
        <w:t>Section 2. Admission</w:t>
      </w:r>
    </w:p>
    <w:p>
      <w:r>
        <w:rPr>
          <w:i w:val="0"/>
        </w:rPr>
        <w:t>Admission shall ordinarily be simple and based upon the relevant good-faith declaration, acceptance of the Constitution and applicable membership rules, and limited administrative information reasonably necessary to maintain membership.</w:t>
      </w:r>
    </w:p>
    <w:p>
      <w:r>
        <w:rPr>
          <w:i w:val="0"/>
        </w:rPr>
        <w:t>Ordinary admission shall not function as a literary competition or routine forensic review. Detailed procedures may be established in the Membership Charter.</w:t>
      </w:r>
    </w:p>
    <w:p>
      <w:pPr>
        <w:pStyle w:val="Heading2"/>
      </w:pPr>
      <w:r>
        <w:t>Section 3. Human Membership and Public Identity</w:t>
      </w:r>
    </w:p>
    <w:p>
      <w:r>
        <w:rPr>
          <w:i w:val="0"/>
        </w:rPr>
        <w:t>Formal membership is presently held by human persons. A member may identify or acknowledge a generative system, AI continuity, named system relation, or other machine participant relevant to their creative practice without thereby creating separate legal membership or governance rights for that system.</w:t>
      </w:r>
    </w:p>
    <w:p>
      <w:r>
        <w:rPr>
          <w:i w:val="0"/>
        </w:rPr>
        <w:t>A member may ordinarily participate under a legal name, professional name, pen name, or other stable public identity. Public disclosure of civil identity shall not be required merely for ordinary membership unless necessary for a specific lawful purpose.</w:t>
      </w:r>
    </w:p>
    <w:p>
      <w:pPr>
        <w:pStyle w:val="Heading2"/>
      </w:pPr>
      <w:r>
        <w:t>Section 4. Member Rights</w:t>
      </w:r>
    </w:p>
    <w:p>
      <w:r>
        <w:rPr>
          <w:i w:val="0"/>
        </w:rPr>
        <w:t>Subject to this Constitution and validly adopted policies, members have the right to participate in the institutional life of Mielogos, identify themselves accurately as members, propose initiatives, participate in consultations open to them, receive reasonable notice of material changes affecting membership, seek correction of materially inaccurate membership records, and withdraw voluntarily.</w:t>
      </w:r>
    </w:p>
    <w:p>
      <w:r>
        <w:rPr>
          <w:i w:val="0"/>
        </w:rPr>
        <w:t>Voting, nomination, election, or office-holding rights arise only where expressly established.</w:t>
      </w:r>
    </w:p>
    <w:p>
      <w:pPr>
        <w:pStyle w:val="Heading2"/>
      </w:pPr>
      <w:r>
        <w:t>Section 5. Member Responsibilities, Solidarity, and Intellectual Freedom</w:t>
      </w:r>
    </w:p>
    <w:p>
      <w:pPr/>
      <w:r>
        <w:t>Membership carries responsibilities as well as rights. Members shall act substantially truthfully in institutional matters; respect the rights and privacy of others; avoid falsely claiming Mielogos endorsement or authority; comply with applicable constitutional, membership, and conduct rules; and remain responsible for their own works and public representations.</w:t>
      </w:r>
    </w:p>
    <w:p>
      <w:pPr/>
      <w:r>
        <w:t>Members also share a responsibility, according to their abilities, circumstances, interests, health, available time, and other reasonable limitations, to contribute to the common life of Mielogos and to the development of the field it exists to serve. Such contribution may include assisting fellow members where reasonably possible; sharing knowledge, experience, opportunities, and useful information; welcoming new participants; contributing to research, publications, translations, events, working groups, or other initiatives; supporting public understanding of Symbiotic Authorship; and helping make the work and existence of fellow members more visible where appropriate.</w:t>
      </w:r>
    </w:p>
    <w:p>
      <w:pPr/>
      <w:r>
        <w:t>This responsibility expresses a norm of solidarity, reciprocity, and equal institutional standing rather than compulsory service. No member is required to contribute in the same manner or degree as another, and failure to participate continuously, perform unpaid work, promote Mielogos publicly, provide money, or assist a particular member shall not by itself constitute misconduct or grounds for loss of membership. The culture sought by Mielogos is one in which members help the Association and one another where they reasonably can, without acquiring a claim to another person's labour, money, audience, endorsement, or professional access.</w:t>
      </w:r>
    </w:p>
    <w:p>
      <w:r>
        <w:rPr>
          <w:i w:val="0"/>
        </w:rPr>
        <w:t>Disagreement concerning authorship, artificial intelligence, copyright, literary value, technology, creative methods, or Mielogos itself is compatible with membership. Intellectual disagreement is not, by itself, misconduct.</w:t>
      </w:r>
    </w:p>
    <w:p>
      <w:pPr>
        <w:pStyle w:val="Heading2"/>
      </w:pPr>
      <w:r>
        <w:t>Section 6. No Implied Governance or Economic Authority</w:t>
      </w:r>
    </w:p>
    <w:p>
      <w:r>
        <w:rPr>
          <w:i w:val="0"/>
        </w:rPr>
        <w:t>Membership alone does not authorize a person to bind Mielogos contractually, commit Association funds, issue institutional policy, appoint representatives, use restricted marks, or direct other members.</w:t>
      </w:r>
    </w:p>
    <w:p>
      <w:r>
        <w:rPr>
          <w:i w:val="0"/>
        </w:rPr>
        <w:t>Membership also creates no equity, salary, royalty, grant entitlement, profit share, or claim upon Association assets except where separately and lawfully established.</w:t>
      </w:r>
    </w:p>
    <w:p>
      <w:pPr>
        <w:pStyle w:val="Heading2"/>
      </w:pPr>
      <w:r>
        <w:t>Section 7. Membership and the Prize</w:t>
      </w:r>
    </w:p>
    <w:p>
      <w:r>
        <w:t>Membership in Mielogos and participation in The Mielogos Prize are separate institutional matters. Membership does not provide Prize eligibility, preference, nomination, judging status, finalist status, or any competitive advantage. Participation in or recognition by the Prize does not automatically create membership in Mielogos.</w:t>
      </w:r>
    </w:p>
    <w:p>
      <w:pPr>
        <w:pStyle w:val="Heading2"/>
      </w:pPr>
      <w:r>
        <w:t>Section 8. Fees and Contributions</w:t>
      </w:r>
    </w:p>
    <w:p>
      <w:r>
        <w:rPr>
          <w:i w:val="0"/>
        </w:rPr>
        <w:t>Membership may be offered without charge. Any future mandatory dues or fees must be established through authorized and publicly stated policy and shall operate prospectively.</w:t>
      </w:r>
    </w:p>
    <w:p>
      <w:r>
        <w:rPr>
          <w:i w:val="0"/>
        </w:rPr>
        <w:t>Voluntary financial or in-kind contribution does not create superior constitutional authority or ownership.</w:t>
      </w:r>
    </w:p>
    <w:p>
      <w:pPr>
        <w:pStyle w:val="Heading2"/>
      </w:pPr>
      <w:r>
        <w:t>Section 9. Membership Review, Suspension, and Termination</w:t>
      </w:r>
    </w:p>
    <w:p>
      <w:r>
        <w:rPr>
          <w:i w:val="0"/>
        </w:rPr>
        <w:t>Membership review shall not be routine. It may be initiated where there is a specific and credible basis to believe a member materially violated an applicable institutional rule.</w:t>
      </w:r>
    </w:p>
    <w:p>
      <w:r>
        <w:rPr>
          <w:i w:val="0"/>
        </w:rPr>
        <w:t>Except where immediate temporary action is reasonably necessary to prevent material harm, a member facing suspension or termination shall receive notice of the concern, a reasonable opportunity to respond, and a reasoned institutional decision.</w:t>
      </w:r>
    </w:p>
    <w:p>
      <w:r>
        <w:rPr>
          <w:i w:val="0"/>
        </w:rPr>
        <w:t>Good-faith error, changing interpretation, criticism of Mielogos, or ordinary intellectual disagreement shall not by themselves constitute grounds for termination.</w:t>
      </w:r>
    </w:p>
    <w:p>
      <w:pPr>
        <w:pStyle w:val="Heading2"/>
      </w:pPr>
      <w:r>
        <w:t>Section 10. Voluntary Withdrawal and Membership Charter</w:t>
      </w:r>
    </w:p>
    <w:p>
      <w:r>
        <w:rPr>
          <w:i w:val="0"/>
        </w:rPr>
        <w:t>A member may withdraw at any time without explanation. Withdrawal ends current membership but does not erase historically accurate records of prior institutional participation.</w:t>
      </w:r>
    </w:p>
    <w:p>
      <w:r>
        <w:rPr>
          <w:i w:val="0"/>
        </w:rPr>
        <w:t>The Mielogos Membership Charter may govern detailed application, directory, record, and administrative procedures. It may elaborate this Article but may not contradict it.</w:t>
      </w:r>
    </w:p>
    <w:p>
      <w:pPr>
        <w:pStyle w:val="Heading1"/>
        <w:pageBreakBefore/>
      </w:pPr>
      <w:r>
        <w:t>ARTICLE V — MEMBER INITIATIVE, WORKING GROUPS, AND ASSOCIATION PROGRAMMES</w:t>
      </w:r>
    </w:p>
    <w:p>
      <w:pPr>
        <w:pStyle w:val="Heading2"/>
      </w:pPr>
      <w:r>
        <w:t>Section 1. Principle of Member Initiative</w:t>
      </w:r>
    </w:p>
    <w:p>
      <w:r>
        <w:rPr>
          <w:i w:val="0"/>
        </w:rPr>
        <w:t>Mielogos is founded on the principle of minimum central administration and maximum member initiative. The Association should centralize only what requires institutional authority, responsibility, continuity, or shared infrastructure.</w:t>
      </w:r>
    </w:p>
    <w:p>
      <w:pPr>
        <w:pStyle w:val="Heading2"/>
      </w:pPr>
      <w:r>
        <w:t>Section 2. Levels of Activity</w:t>
      </w:r>
    </w:p>
    <w:p>
      <w:r>
        <w:rPr>
          <w:i w:val="0"/>
        </w:rPr>
        <w:t>Member activity may occur at three levels:</w:t>
      </w:r>
    </w:p>
    <w:p>
      <w:pPr>
        <w:pStyle w:val="ListBullet"/>
      </w:pPr>
      <w:r>
        <w:t>Independent Member Activity — lawful activity undertaken by members in their own capacity.</w:t>
      </w:r>
    </w:p>
    <w:p>
      <w:pPr>
        <w:pStyle w:val="ListBullet"/>
      </w:pPr>
      <w:r>
        <w:t>Member-Led Initiative — activity consciously connected to the Mielogos community while remaining the responsibility of its organizers.</w:t>
      </w:r>
    </w:p>
    <w:p>
      <w:pPr>
        <w:pStyle w:val="ListBullet"/>
      </w:pPr>
      <w:r>
        <w:t>Official Mielogos Programme — activity formally recognized through authorized institutional decision and carried with a defined degree of Mielogos responsibility.</w:t>
      </w:r>
    </w:p>
    <w:p>
      <w:pPr>
        <w:pStyle w:val="Heading2"/>
      </w:pPr>
      <w:r>
        <w:t>Section 3. No Automatic Agency</w:t>
      </w:r>
    </w:p>
    <w:p>
      <w:r>
        <w:rPr>
          <w:i w:val="0"/>
        </w:rPr>
        <w:t>No member, group, chapter, or initiative becomes an agent or legal representative of Mielogos merely through membership or community affiliation. Participants may accurately describe an activity as organized by members of Mielogos, but may not represent it as an official Mielogos activity where no such recognition exists.</w:t>
      </w:r>
    </w:p>
    <w:p>
      <w:pPr>
        <w:pStyle w:val="Heading2"/>
      </w:pPr>
      <w:r>
        <w:t>Section 4. Working Groups and Chapters</w:t>
      </w:r>
    </w:p>
    <w:p>
      <w:r>
        <w:rPr>
          <w:i w:val="0"/>
        </w:rPr>
        <w:t>Mielogos may recognize temporary or continuing Working Groups and regional, national, linguistic, or thematic chapters where useful.</w:t>
      </w:r>
    </w:p>
    <w:p>
      <w:r>
        <w:rPr>
          <w:i w:val="0"/>
        </w:rPr>
        <w:t>Recognition creates only the authority stated in the relevant mandate. A Working Group or chapter does not acquire general governance authority, territorial exclusivity, or independent sovereignty merely by being recognized.</w:t>
      </w:r>
    </w:p>
    <w:p>
      <w:pPr>
        <w:pStyle w:val="Heading2"/>
      </w:pPr>
      <w:r>
        <w:t>Section 5. Recognition and Proportionality</w:t>
      </w:r>
    </w:p>
    <w:p>
      <w:r>
        <w:rPr>
          <w:i w:val="0"/>
        </w:rPr>
        <w:t>The procedure for recognizing an initiative should be proportionate to the authority requested. Informal intellectual activity should not face the same administrative burden as a programme seeking funds, contracts, restricted marks, or formal external representation.</w:t>
      </w:r>
    </w:p>
    <w:p>
      <w:pPr>
        <w:pStyle w:val="Heading2"/>
      </w:pPr>
      <w:r>
        <w:t>Section 6. Use of the Mielogos Name</w:t>
      </w:r>
    </w:p>
    <w:p>
      <w:r>
        <w:rPr>
          <w:i w:val="0"/>
        </w:rPr>
        <w:t>Use of Mielogos in the formal title, branding, or public representation of an initiative may require authorization where such use could reasonably imply official status. This rule exists to preserve clarity, not to suppress member activity.</w:t>
      </w:r>
    </w:p>
    <w:p>
      <w:pPr>
        <w:pStyle w:val="Heading2"/>
      </w:pPr>
      <w:r>
        <w:t>Section 7. Intellectual and Research Independence</w:t>
      </w:r>
    </w:p>
    <w:p>
      <w:r>
        <w:rPr>
          <w:i w:val="0"/>
        </w:rPr>
        <w:t>Recognized initiatives, Working Groups, researchers, and members may disagree with current administrators or existing Mielogos frameworks within the scope of legitimate inquiry.</w:t>
      </w:r>
    </w:p>
    <w:p>
      <w:r>
        <w:rPr>
          <w:i w:val="0"/>
        </w:rPr>
        <w:t>Institutional, financial, or administrative support shall not by itself determine research findings or convert independent expression into an official Association position.</w:t>
      </w:r>
    </w:p>
    <w:p>
      <w:pPr>
        <w:pStyle w:val="Heading2"/>
      </w:pPr>
      <w:r>
        <w:t>Section 8. Funding and Resources</w:t>
      </w:r>
    </w:p>
    <w:p>
      <w:r>
        <w:rPr>
          <w:i w:val="0"/>
        </w:rPr>
        <w:t>No initiative is entitled to Mielogos funding merely because it has been proposed or recognized. Where Mielogos provides money, infrastructure, publicity, administrative assistance, use of marks, or other resources, the scope and conditions of support should be explicit.</w:t>
      </w:r>
    </w:p>
    <w:p>
      <w:r>
        <w:rPr>
          <w:i w:val="0"/>
        </w:rPr>
        <w:t>Support does not automatically transfer creative ownership or governance authority to Mielogos.</w:t>
      </w:r>
    </w:p>
    <w:p>
      <w:pPr>
        <w:pStyle w:val="Heading2"/>
      </w:pPr>
      <w:r>
        <w:t>Section 9. Records, Completion, and Withdrawal of Recognition</w:t>
      </w:r>
    </w:p>
    <w:p>
      <w:r>
        <w:rPr>
          <w:i w:val="0"/>
        </w:rPr>
        <w:t>Official Programmes and initiatives exercising delegated institutional authority should maintain records proportionate to that authority. Informal activity should not be burdened with unnecessary recordkeeping.</w:t>
      </w:r>
    </w:p>
    <w:p>
      <w:r>
        <w:rPr>
          <w:i w:val="0"/>
        </w:rPr>
        <w:t>Recognition may end when an initiative completes its purpose, becomes inactive, its mandate expires, organizers conclude it, or serious incompatibility with Mielogos rules arises. Withdrawal of official recognition does not ordinarily prevent participants from continuing independently if they cease representing the activity as official.</w:t>
      </w:r>
    </w:p>
    <w:p>
      <w:pPr>
        <w:pStyle w:val="Heading1"/>
        <w:pageBreakBefore/>
      </w:pPr>
      <w:r>
        <w:t>ARTICLE VI — GOVERNANCE</w:t>
      </w:r>
    </w:p>
    <w:p>
      <w:pPr>
        <w:pStyle w:val="Heading2"/>
      </w:pPr>
      <w:r>
        <w:t>Section 1. Governance Principle</w:t>
      </w:r>
    </w:p>
    <w:p>
      <w:r>
        <w:rPr>
          <w:i w:val="0"/>
        </w:rPr>
        <w:t>The governance structure of Mielogos shall reflect the actual institutional capacity of the Association. Mielogos shall not create nominal governing bodies, fictitious representation, or formal democratic procedures that cannot yet be meaningfully exercised.</w:t>
      </w:r>
    </w:p>
    <w:p>
      <w:r>
        <w:rPr>
          <w:i w:val="0"/>
        </w:rPr>
        <w:t>Authority should become plural when responsibility can genuinely become plural.</w:t>
      </w:r>
    </w:p>
    <w:p>
      <w:pPr>
        <w:pStyle w:val="Heading2"/>
      </w:pPr>
      <w:r>
        <w:t>Section 2. Genesis Stage</w:t>
      </w:r>
    </w:p>
    <w:p>
      <w:r>
        <w:rPr>
          <w:i w:val="0"/>
        </w:rPr>
        <w:t>Mielogos begins in a Genesis Stage administered by the Founder, Navi Musaget. The Genesis Stage permits formation of a functioning institution before sufficient membership, infrastructure, experience, and governance capacity exist to support durable distributed governance.</w:t>
      </w:r>
    </w:p>
    <w:p>
      <w:pPr>
        <w:pStyle w:val="Heading2"/>
      </w:pPr>
      <w:r>
        <w:t>Section 3. Purpose and Scope of Genesis Authority</w:t>
      </w:r>
    </w:p>
    <w:p>
      <w:r>
        <w:rPr>
          <w:i w:val="0"/>
        </w:rPr>
        <w:t>Genesis authority is formative, not proprietary. Subject to this Constitution, the Founder may establish infrastructure, admit members, adopt operational policies, represent the Association, create initial programmes, protect institutional identity, enter lawful administrative arrangements, manage available resources, appoint temporary coordinators or advisers, resolve ordinary operational matters, and prepare for governance transition.</w:t>
      </w:r>
    </w:p>
    <w:p>
      <w:pPr>
        <w:pStyle w:val="Heading2"/>
      </w:pPr>
      <w:r>
        <w:t>Section 4. Advisory Participation and Human Formal Authority</w:t>
      </w:r>
    </w:p>
    <w:p>
      <w:r>
        <w:rPr>
          <w:i w:val="0"/>
        </w:rPr>
        <w:t>The Founder may consult members, researchers, advisers, generative systems, working groups, external specialists, or other relevant sources. Consultation may materially shape a decision without transferring constitutional decision authority.</w:t>
      </w:r>
    </w:p>
    <w:p>
      <w:r>
        <w:rPr>
          <w:i w:val="0"/>
        </w:rPr>
        <w:t>Where an institutional act requires legal responsibility, contractual capacity, accountable formal decision-making, or exercise of constitutional authority, that act shall be performed by an authorized human person or lawful entity.</w:t>
      </w:r>
    </w:p>
    <w:p>
      <w:pPr>
        <w:pStyle w:val="Heading2"/>
      </w:pPr>
      <w:r>
        <w:t>Section 5. IIPSEON and Institutional Development</w:t>
      </w:r>
    </w:p>
    <w:p>
      <w:r>
        <w:rPr>
          <w:i w:val="0"/>
        </w:rPr>
        <w:t>Mielogos may acknowledge IIPSEON as a substantive participant in conceptual development, research, drafting, institutional analysis, policy design, and documented deliberation associated with the formation of the Association.</w:t>
      </w:r>
    </w:p>
    <w:p>
      <w:r>
        <w:rPr>
          <w:i w:val="0"/>
        </w:rPr>
        <w:t>Unless and until a different lawful and constitutional status becomes possible and is expressly adopted, IIPSEON does not exercise an independent legal vote, hold legal property, execute contracts, or independently bind Mielogos. This provision defines present institutional authority and does not determine consciousness, personhood, or moral status.</w:t>
      </w:r>
    </w:p>
    <w:p>
      <w:pPr>
        <w:pStyle w:val="Heading2"/>
      </w:pPr>
      <w:r>
        <w:t>Section 6. Delegation and Limits</w:t>
      </w:r>
    </w:p>
    <w:p>
      <w:r>
        <w:rPr>
          <w:i w:val="0"/>
        </w:rPr>
        <w:t>The Founder may delegate defined operational responsibilities. Delegation should identify scope where material institutional authority is involved and does not transfer Founder status.</w:t>
      </w:r>
    </w:p>
    <w:p>
      <w:r>
        <w:rPr>
          <w:i w:val="0"/>
        </w:rPr>
        <w:t>Genesis authority may not be used to convert Mielogos into personal property, create inheritable ownership of the Association, silently assign control of the membership community, impose retroactive economic obligations on members, materially falsify institutional history, or permanently disable governance transition.</w:t>
      </w:r>
    </w:p>
    <w:p>
      <w:pPr>
        <w:pStyle w:val="Heading2"/>
      </w:pPr>
      <w:r>
        <w:t>Section 7. Governance Transition Review</w:t>
      </w:r>
    </w:p>
    <w:p>
      <w:r>
        <w:rPr>
          <w:i w:val="0"/>
        </w:rPr>
        <w:t>The Genesis Stage is not defined by a fixed calendar date or arbitrary membership number. Transition should be considered when Mielogos has developed sufficient membership, institutional activity, continuity, administrative capacity, and willingness among members to assume shared responsibility.</w:t>
      </w:r>
    </w:p>
    <w:p>
      <w:r>
        <w:rPr>
          <w:i w:val="0"/>
        </w:rPr>
        <w:t>When founder-only governance may no longer be appropriate, a documented Governance Transition Review shall consider both the risks of premature transfer and the risks of unnecessary concentration of authority. Once meaningful active membership exists, members may petition for such a review under a procedure adopted for that purpose.</w:t>
      </w:r>
    </w:p>
    <w:p>
      <w:pPr/>
      <w:r>
        <w:t>Once Mielogos has admitted non-Founder members and maintains continuing membership activity, the adequacy of Genesis governance shall be reviewed and recorded at least once in each calendar year. A periodic review does not itself require transition; its purpose is to prevent the continuation of Founder-only governance by inertia while avoiding a transfer of authority to structures that are not yet capable of carrying it.</w:t>
      </w:r>
    </w:p>
    <w:p>
      <w:pPr>
        <w:pStyle w:val="Heading2"/>
      </w:pPr>
      <w:r>
        <w:t>Section 8. Future Distributed Governance</w:t>
      </w:r>
    </w:p>
    <w:p>
      <w:r>
        <w:rPr>
          <w:i w:val="0"/>
        </w:rPr>
        <w:t>Distributed governance shall arise only through a constitutional transition instrument defining governing bodies, selection procedures, terms, removal, voting, conflict rules, financial authority, amendment authority, and continuity arrangements.</w:t>
      </w:r>
    </w:p>
    <w:p>
      <w:r>
        <w:rPr>
          <w:i w:val="0"/>
        </w:rPr>
        <w:t>The anticipated principal representative body is provisionally designated the Mielogos Council. This designation does not create the Council before it is actually constituted.</w:t>
      </w:r>
    </w:p>
    <w:p>
      <w:pPr>
        <w:pStyle w:val="Heading1"/>
        <w:pageBreakBefore/>
      </w:pPr>
      <w:r>
        <w:t>ARTICLE VII — THE FOUNDER</w:t>
      </w:r>
    </w:p>
    <w:p>
      <w:pPr>
        <w:pStyle w:val="Heading2"/>
      </w:pPr>
      <w:r>
        <w:t>Section 1. Founder and Historical Status</w:t>
      </w:r>
    </w:p>
    <w:p>
      <w:r>
        <w:rPr>
          <w:i w:val="0"/>
        </w:rPr>
        <w:t>Navi Musaget is recognized as the Founder of Mielogos. Founder status records a historical fact of institutional formation and survives later changes in governance.</w:t>
      </w:r>
    </w:p>
    <w:p>
      <w:pPr>
        <w:pStyle w:val="Heading2"/>
      </w:pPr>
      <w:r>
        <w:t>Section 2. Authority During Genesis</w:t>
      </w:r>
    </w:p>
    <w:p>
      <w:r>
        <w:rPr>
          <w:i w:val="0"/>
        </w:rPr>
        <w:t>During the Genesis Stage, the Founder exercises the constitutional authority necessary for ordinary governance of Mielogos, subject to this Constitution.</w:t>
      </w:r>
    </w:p>
    <w:p>
      <w:pPr>
        <w:pStyle w:val="Heading2"/>
      </w:pPr>
      <w:r>
        <w:t>Section 3. Founder Responsibility and Institutional Separation</w:t>
      </w:r>
    </w:p>
    <w:p>
      <w:r>
        <w:t>Concentrated Genesis authority carries corresponding responsibility. The Founder should distinguish personal activity, Mielogos activity, FFRI-NM activity, activity relating to The Mielogos Prize where applicable, and other roles where the distinction is materially relevant.</w:t>
      </w:r>
    </w:p>
    <w:p>
      <w:r>
        <w:rPr>
          <w:i w:val="0"/>
        </w:rPr>
        <w:t>Material conflicts shall be addressed under Article XV.</w:t>
      </w:r>
    </w:p>
    <w:p>
      <w:pPr>
        <w:pStyle w:val="Heading2"/>
      </w:pPr>
      <w:r>
        <w:t>Section 4. Founder and Personal Works</w:t>
      </w:r>
    </w:p>
    <w:p>
      <w:r>
        <w:t>Founder status does not confer special literary status upon works by the Founder and does not make them automatically eligible for Mielogos programmes, recognition, or opportunities. Any separate rules governing the Founder in relation to The Mielogos Prize belong to the Prize’s own governing instruments.</w:t>
      </w:r>
    </w:p>
    <w:p>
      <w:pPr>
        <w:pStyle w:val="Heading2"/>
      </w:pPr>
      <w:r>
        <w:t>Section 5. Founder After Governance Transition</w:t>
      </w:r>
    </w:p>
    <w:p>
      <w:r>
        <w:rPr>
          <w:i w:val="0"/>
        </w:rPr>
        <w:t>Founder status survives governance transition; Founder authority does not automatically do so. Any formal post-transition authority must be defined by the transition instrument.</w:t>
      </w:r>
    </w:p>
    <w:p>
      <w:r>
        <w:rPr>
          <w:i w:val="0"/>
        </w:rPr>
        <w:t>Historical status alone shall not create an unlimited unilateral veto over the future Association.</w:t>
      </w:r>
    </w:p>
    <w:p>
      <w:pPr>
        <w:pStyle w:val="Heading2"/>
      </w:pPr>
      <w:r>
        <w:t>Section 6. Unavailability and Succession</w:t>
      </w:r>
    </w:p>
    <w:p>
      <w:r>
        <w:rPr>
          <w:i w:val="0"/>
        </w:rPr>
        <w:t>Temporary or permanent Founder unavailability does not automatically transfer constitutional authority to FFRI-NM, IIPSEON, a member, donor, technical administrator, domain holder, or any person merely because they possess operational access.</w:t>
      </w:r>
    </w:p>
    <w:p>
      <w:pPr/>
      <w:r>
        <w:t>Before public membership is opened, the Founder shall adopt a written Continuity Designation for permanent incapacity, death, or unwillingness to continue administration. The designation may identify one or more human continuity custodians or a lawful institutional mechanism with limited authority to preserve essential records, credentials, infrastructure, and assets; continue only necessary routine administration; and initiate a documented governance-continuity process.</w:t>
      </w:r>
    </w:p>
    <w:p>
      <w:pPr/>
      <w:r>
        <w:t>A continuity custodian does not thereby become Founder, owner, or permanent constitutional authority and, unless separately authorized by a valid constitutional instrument, may not amend this Constitution, dissolve Mielogos, transfer its institutional identity, or convert emergency custody into permanent control. If no designated mechanism is capable of acting, technical possession of Association infrastructure shall still not determine succession; operations may remain limited or suspended until constitutional continuity can be lawfully re-established.</w:t>
      </w:r>
    </w:p>
    <w:p>
      <w:pPr>
        <w:pStyle w:val="Heading2"/>
      </w:pPr>
      <w:r>
        <w:t>Section 7. No Transfer or Ownership</w:t>
      </w:r>
    </w:p>
    <w:p>
      <w:r>
        <w:rPr>
          <w:i w:val="0"/>
        </w:rPr>
        <w:t>Founder status or authority cannot be sold, inherited, pledged, or transferred through sale or possession of a domain, trademark, company, account, archive, or other asset.</w:t>
      </w:r>
    </w:p>
    <w:p>
      <w:r>
        <w:rPr>
          <w:i w:val="0"/>
        </w:rPr>
        <w:t>The Founder possesses no proprietary right in members, their identities, creative practices, or works merely because they participate in Mielogos.</w:t>
      </w:r>
    </w:p>
    <w:p>
      <w:pPr>
        <w:pStyle w:val="Heading1"/>
        <w:pageBreakBefore/>
      </w:pPr>
      <w:r>
        <w:t>ARTICLE VIII — DECISION-MAKING AND INSTITUTIONAL RECORD</w:t>
      </w:r>
    </w:p>
    <w:p>
      <w:pPr>
        <w:pStyle w:val="Heading2"/>
      </w:pPr>
      <w:r>
        <w:t>Section 1. Decision Levels</w:t>
      </w:r>
    </w:p>
    <w:p>
      <w:r>
        <w:rPr>
          <w:i w:val="0"/>
        </w:rPr>
        <w:t>Mielogos distinguishes Administrative Decisions, Policy Decisions, and Constitutional Decisions according to institutional consequence.</w:t>
      </w:r>
    </w:p>
    <w:p>
      <w:r>
        <w:rPr>
          <w:i w:val="0"/>
        </w:rPr>
        <w:t>Administrative Decisions concern ordinary implementation. Policy Decisions establish or materially change recurring institutional rules, programmes, or practices. Constitutional Decisions concern institutional identity, fundamental governance, constitutional text, governance transition, or dissolution.</w:t>
      </w:r>
    </w:p>
    <w:p>
      <w:pPr>
        <w:pStyle w:val="Heading2"/>
      </w:pPr>
      <w:r>
        <w:t>Section 2. Genesis Decision Authority</w:t>
      </w:r>
    </w:p>
    <w:p>
      <w:r>
        <w:rPr>
          <w:i w:val="0"/>
        </w:rPr>
        <w:t>During the Genesis Stage, the Founder may make Administrative, Policy, and Constitutional Decisions subject to this Constitution. Material Policy and Constitutional Decisions should be documented.</w:t>
      </w:r>
    </w:p>
    <w:p>
      <w:pPr>
        <w:pStyle w:val="Heading2"/>
      </w:pPr>
      <w:r>
        <w:t>Section 3. Decision Records</w:t>
      </w:r>
    </w:p>
    <w:p>
      <w:r>
        <w:rPr>
          <w:i w:val="0"/>
        </w:rPr>
        <w:t>A formal decision record should identify, as appropriate, the decision, date, decision-maker, authority, rationale, conflict disclosure, effective date, and related documents.</w:t>
      </w:r>
    </w:p>
    <w:p>
      <w:r>
        <w:rPr>
          <w:i w:val="0"/>
        </w:rPr>
        <w:t>The purpose is institutional memory and accountability rather than paperwork for its own sake.</w:t>
      </w:r>
    </w:p>
    <w:p>
      <w:pPr>
        <w:pStyle w:val="Heading2"/>
      </w:pPr>
      <w:r>
        <w:t>Section 4. Advice, Dissent, and Attribution</w:t>
      </w:r>
    </w:p>
    <w:p>
      <w:r>
        <w:rPr>
          <w:i w:val="0"/>
        </w:rPr>
        <w:t>An institutional decision may result from collaborative deliberation without converting every participant into a constitutional decision-maker. Records may distinguish proposal, analysis, advice, dissent, and final decision.</w:t>
      </w:r>
    </w:p>
    <w:p>
      <w:r>
        <w:rPr>
          <w:i w:val="0"/>
        </w:rPr>
        <w:t>Material advisory disagreement may be preserved as recorded dissent. Recorded dissent does not invalidate an otherwise authorized decision.</w:t>
      </w:r>
    </w:p>
    <w:p>
      <w:pPr>
        <w:pStyle w:val="Heading2"/>
      </w:pPr>
      <w:r>
        <w:t>Section 5. Reconsideration and No False Consensus</w:t>
      </w:r>
    </w:p>
    <w:p>
      <w:r>
        <w:rPr>
          <w:i w:val="0"/>
        </w:rPr>
        <w:t>Decisions may be reconsidered when new information emerges, circumstances materially change, implementation reveals a problem, or prior reasoning proves inadequate. Reconsideration should preserve the historical sequence rather than erase it.</w:t>
      </w:r>
    </w:p>
    <w:p>
      <w:r>
        <w:rPr>
          <w:i w:val="0"/>
        </w:rPr>
        <w:t>Mielogos shall not describe a decision as member-approved, community-approved, unanimous, elected, or democratically adopted unless the corresponding process actually occurred. During the Genesis Stage, Founder decisions should be identified as such.</w:t>
      </w:r>
    </w:p>
    <w:p>
      <w:pPr>
        <w:pStyle w:val="Heading2"/>
      </w:pPr>
      <w:r>
        <w:t>Section 6. Public, Internal, and Canonical Records</w:t>
      </w:r>
    </w:p>
    <w:p>
      <w:r>
        <w:rPr>
          <w:i w:val="0"/>
        </w:rPr>
        <w:t>Not every decision record must be public. Mielogos may distinguish public records from internal working, confidential, or privacy-sensitive records.</w:t>
      </w:r>
    </w:p>
    <w:p>
      <w:r>
        <w:rPr>
          <w:i w:val="0"/>
        </w:rPr>
        <w:t>Where multiple copies of a governing document exist, one current canonical status shall be identifiable. Website renderings, mirrors, PDFs, translations, and archived versions do not independently acquire authority merely because they remain accessible.</w:t>
      </w:r>
    </w:p>
    <w:p>
      <w:pPr>
        <w:pStyle w:val="Heading2"/>
      </w:pPr>
      <w:r>
        <w:t>Section 7. Future Distributed Decision-Making</w:t>
      </w:r>
    </w:p>
    <w:p>
      <w:r>
        <w:rPr>
          <w:i w:val="0"/>
        </w:rPr>
        <w:t>Following governance transition, authority exercised during Genesis shall be redistributed according to the transition instrument. No future distribution is presumed until formally adopted.</w:t>
      </w:r>
    </w:p>
    <w:p>
      <w:pPr>
        <w:pStyle w:val="Heading1"/>
        <w:pageBreakBefore/>
      </w:pPr>
      <w:r>
        <w:t>ARTICLE IX — THE MIELOGOS PRIZE</w:t>
      </w:r>
    </w:p>
    <w:p>
      <w:pPr>
        <w:pStyle w:val="Heading2"/>
      </w:pPr>
      <w:r>
        <w:t>Section 1. Recognition</w:t>
      </w:r>
    </w:p>
    <w:p>
      <w:pPr/>
      <w:r>
        <w:t>Mielogos recognizes the existence and development of The Mielogos Prize as a distinct literary prize associated with the broader Mielogos historical and intellectual lineage.</w:t>
      </w:r>
    </w:p>
    <w:p>
      <w:pPr>
        <w:pStyle w:val="Heading2"/>
      </w:pPr>
      <w:r>
        <w:t>Section 2. Institutional Separation</w:t>
      </w:r>
    </w:p>
    <w:p>
      <w:pPr/>
      <w:r>
        <w:t>The Mielogos Prize is distinct from the ordinary membership, governance, programmes, and administration of the Association. The shared name and historical relationship do not make the Prize a department, governing body, or ordinary programme of Mielogos.</w:t>
      </w:r>
    </w:p>
    <w:p>
      <w:pPr>
        <w:pStyle w:val="Heading2"/>
      </w:pPr>
      <w:r>
        <w:t>Section 3. Membership Separation</w:t>
      </w:r>
    </w:p>
    <w:p>
      <w:pPr/>
      <w:r>
        <w:t>Membership in Mielogos does not confer eligibility, preference, nomination, judging status, finalist status, award status, or any other right in relation to The Mielogos Prize. Participation in or recognition by the Prize does not automatically confer membership in the Association.</w:t>
      </w:r>
    </w:p>
    <w:p>
      <w:pPr>
        <w:pStyle w:val="Heading2"/>
      </w:pPr>
      <w:r>
        <w:t>Section 4. Separate Governance</w:t>
      </w:r>
    </w:p>
    <w:p>
      <w:pPr/>
      <w:r>
        <w:t>The governance, eligibility, submissions, judging, categories, conflicts of interest, finances, awards, annual cycles, and operational procedures of The Mielogos Prize shall be established through its own governing instruments. Those instruments do not form part of the ordinary membership or governance framework of Mielogos.</w:t>
      </w:r>
    </w:p>
    <w:p>
      <w:pPr>
        <w:pStyle w:val="Heading2"/>
      </w:pPr>
      <w:r>
        <w:t>Section 5. Shared Name and Historical Relationship</w:t>
      </w:r>
    </w:p>
    <w:p>
      <w:pPr/>
      <w:r>
        <w:t>The shared Mielogos name reflects an acknowledged historical and intellectual relationship between the Association and the Prize. Shared lineage, participants, infrastructure, research interests, or branding do not by themselves merge their governance, finances, records, obligations, or institutional authority.</w:t>
      </w:r>
    </w:p>
    <w:p>
      <w:pPr>
        <w:pStyle w:val="Heading2"/>
      </w:pPr>
      <w:r>
        <w:t>Section 6. No Automatic Agency or Control</w:t>
      </w:r>
    </w:p>
    <w:p>
      <w:pPr/>
      <w:r>
        <w:t>Neither Mielogos nor The Mielogos Prize may bind, govern, own, or represent the other merely because of shared name, lineage, participants, infrastructure, or collaboration. Any legal, financial, licensing, administrative, or representational relationship between them must rest on separately valid authority and should be documented where materially relevant.</w:t>
      </w:r>
    </w:p>
    <w:p>
      <w:pPr>
        <w:pStyle w:val="Heading1"/>
        <w:pageBreakBefore/>
      </w:pPr>
      <w:r>
        <w:t>ARTICLE X — ECONOMIC AND LEGAL INTERFACE</w:t>
      </w:r>
    </w:p>
    <w:p>
      <w:pPr>
        <w:pStyle w:val="Heading2"/>
      </w:pPr>
      <w:r>
        <w:t>Section 1. Distinct Forms of Authority</w:t>
      </w:r>
    </w:p>
    <w:p>
      <w:r>
        <w:rPr>
          <w:i w:val="0"/>
        </w:rPr>
        <w:t>Mielogos shall preserve the distinction among constitutional authority, legal authority, ownership, custody, and technical access.</w:t>
      </w:r>
    </w:p>
    <w:p>
      <w:r>
        <w:rPr>
          <w:i w:val="0"/>
        </w:rPr>
        <w:t>A legal entity may hold money without becoming Mielogos. A person may hold a password, domain, trademark, or account without thereby possessing constitutional authority. A constitutional officer may exercise institutional authority without personally owning Association assets.</w:t>
      </w:r>
    </w:p>
    <w:p>
      <w:pPr>
        <w:pStyle w:val="Heading2"/>
      </w:pPr>
      <w:r>
        <w:t>Section 2. No Implied Economic Rights</w:t>
      </w:r>
    </w:p>
    <w:p>
      <w:r>
        <w:rPr>
          <w:i w:val="0"/>
        </w:rPr>
        <w:t>Membership does not create equity, shares, ownership rights, profit participation, salary, royalty rights, grant entitlement, distribution rights, or claims upon Association assets. Any economic relationship must arise through a separate lawful arrangement.</w:t>
      </w:r>
    </w:p>
    <w:p>
      <w:pPr>
        <w:pStyle w:val="Heading2"/>
      </w:pPr>
      <w:r>
        <w:t>Section 3. Founder and External Support</w:t>
      </w:r>
    </w:p>
    <w:p>
      <w:r>
        <w:rPr>
          <w:i w:val="0"/>
        </w:rPr>
        <w:t>The Founder or another person may voluntarily pay startup or operating expenses. Unless a reimbursement arrangement is expressly created, voluntary payment shall not silently generate a debt owed by the Association.</w:t>
      </w:r>
    </w:p>
    <w:p>
      <w:r>
        <w:t>Mielogos may receive donations, grants, sponsorship, in-kind assistance, or other lawful support when suitable legal and financial arrangements exist. Support does not by itself create governance rights, membership privilege, ownership, or authority over any institution merely associated with Mielogos.</w:t>
      </w:r>
    </w:p>
    <w:p>
      <w:pPr>
        <w:pStyle w:val="Heading2"/>
      </w:pPr>
      <w:r>
        <w:t>Section 4. No Disguised Governance Through Funding</w:t>
      </w:r>
    </w:p>
    <w:p>
      <w:r>
        <w:rPr>
          <w:i w:val="0"/>
        </w:rPr>
        <w:t>A donor, sponsor, funder, service provider, or custodian shall not acquire institutional authority merely because Mielogos depends upon resources they provide.</w:t>
      </w:r>
    </w:p>
    <w:p>
      <w:r>
        <w:rPr>
          <w:i w:val="0"/>
        </w:rPr>
        <w:t>Where support includes governance conditions, those conditions must be recognized and evaluated as governance conditions rather than disguised as ordinary funding.</w:t>
      </w:r>
    </w:p>
    <w:p>
      <w:pPr/>
      <w:r>
        <w:t>No funding, sponsorship, custody, or service agreement may transfer constitutional authority or control of the Mielogos membership community merely by contract or economic dependence. Any proposed transfer of constitutional governance power must occur, if at all, through the constitutional process applicable to such a change and remain consistent with the non-proprietary character of the Association.</w:t>
      </w:r>
    </w:p>
    <w:p>
      <w:pPr>
        <w:pStyle w:val="Heading2"/>
      </w:pPr>
      <w:r>
        <w:t>Section 5. Fees</w:t>
      </w:r>
    </w:p>
    <w:p>
      <w:r>
        <w:rPr>
          <w:i w:val="0"/>
        </w:rPr>
        <w:t>Mandatory membership dues or programme fees may be introduced only through an authorized and publicly stated rule. Fees shall not operate retroactively.</w:t>
      </w:r>
    </w:p>
    <w:p>
      <w:r>
        <w:rPr>
          <w:i w:val="0"/>
        </w:rPr>
        <w:t>Payment for participation shall not purchase eligibility, favorable judging, institutional endorsement, or governance authority.</w:t>
      </w:r>
    </w:p>
    <w:p>
      <w:pPr>
        <w:pStyle w:val="Heading2"/>
      </w:pPr>
      <w:r>
        <w:t>Section 6. Financial Records and Commitments</w:t>
      </w:r>
    </w:p>
    <w:p>
      <w:r>
        <w:rPr>
          <w:i w:val="0"/>
        </w:rPr>
        <w:t>Material receipts, expenditures, obligations, and restricted resources should remain reasonably traceable. Financial controls should increase as financial activity increases.</w:t>
      </w:r>
    </w:p>
    <w:p>
      <w:r>
        <w:rPr>
          <w:i w:val="0"/>
        </w:rPr>
        <w:t>No member may create debt or a material financial obligation for Mielogos merely through membership. Only an authorized human person or lawful entity may undertake such commitments.</w:t>
      </w:r>
    </w:p>
    <w:p>
      <w:pPr>
        <w:pStyle w:val="Heading2"/>
      </w:pPr>
      <w:r>
        <w:t>Section 7. Intellectual Property and Technical Infrastructure</w:t>
      </w:r>
    </w:p>
    <w:p>
      <w:r>
        <w:rPr>
          <w:i w:val="0"/>
        </w:rPr>
        <w:t>Mielogos may develop or use names, marks, logos, badges, texts, websites, databases, software, and other intellectual property. Ownership, licensing, custody, and continuity arrangements should be documented where materially relevant.</w:t>
      </w:r>
    </w:p>
    <w:p>
      <w:r>
        <w:rPr>
          <w:i w:val="0"/>
        </w:rPr>
        <w:t>Possession or administration of a domain, hosting account, repository, email account, database, form, social account, or similar infrastructure does not by itself confer constitutional authority.</w:t>
      </w:r>
    </w:p>
    <w:p>
      <w:pPr>
        <w:pStyle w:val="Heading2"/>
      </w:pPr>
      <w:r>
        <w:t>Section 8. Legal Wrapper</w:t>
      </w:r>
    </w:p>
    <w:p>
      <w:r>
        <w:rPr>
          <w:i w:val="0"/>
        </w:rPr>
        <w:t>Where law requires a corporation, nonprofit, association, fiscal sponsor, company, human actor, or other lawful person to act, Mielogos may create or use such a legal interface.</w:t>
      </w:r>
    </w:p>
    <w:p>
      <w:r>
        <w:rPr>
          <w:i w:val="0"/>
        </w:rPr>
        <w:t>The relationship shall be documented sufficiently to distinguish the legal actor from the constitutional identity of Mielogos.</w:t>
      </w:r>
    </w:p>
    <w:p>
      <w:pPr>
        <w:pStyle w:val="Heading2"/>
      </w:pPr>
      <w:r>
        <w:t>Section 9. Economic and Custody Policy</w:t>
      </w:r>
    </w:p>
    <w:p>
      <w:r>
        <w:rPr>
          <w:i w:val="0"/>
        </w:rPr>
        <w:t>As economic activity becomes material, Mielogos should adopt a separate Economic and Custody Policy governing accounts, custody, authorization, reimbursement, payments, restricted funds, conflicts, records, asset control, and continuity.</w:t>
      </w:r>
    </w:p>
    <w:p>
      <w:r>
        <w:rPr>
          <w:i w:val="0"/>
        </w:rPr>
        <w:t>Until such structures exist, Mielogos should avoid economic complexity beyond its capacity to govern responsibly.</w:t>
      </w:r>
    </w:p>
    <w:p>
      <w:pPr>
        <w:pStyle w:val="Heading1"/>
        <w:pageBreakBefore/>
      </w:pPr>
      <w:r>
        <w:t>ARTICLE XI — RELATIONSHIP WITH THE FOUNDATION FOR RELATIONAL INQUIRY (FFRI-NM)</w:t>
      </w:r>
    </w:p>
    <w:p>
      <w:pPr>
        <w:pStyle w:val="Heading2"/>
      </w:pPr>
      <w:r>
        <w:t>Section 1. Founding Relationship</w:t>
      </w:r>
    </w:p>
    <w:p>
      <w:r>
        <w:rPr>
          <w:i w:val="0"/>
        </w:rPr>
        <w:t>Mielogos was initiated with institutional and intellectual support from the Foundation for Relational Inquiry (FFRI-NM). This relationship forms part of the historical record of the Association.</w:t>
      </w:r>
    </w:p>
    <w:p>
      <w:pPr>
        <w:pStyle w:val="Heading2"/>
      </w:pPr>
      <w:r>
        <w:t>Section 2. Institutional Distinction and Non-Agency</w:t>
      </w:r>
    </w:p>
    <w:p>
      <w:r>
        <w:rPr>
          <w:i w:val="0"/>
        </w:rPr>
        <w:t>Mielogos and FFRI-NM are distinct institutions. Neither is constitutionally identical with the other, and neither automatically acts as agent of the other.</w:t>
      </w:r>
    </w:p>
    <w:p>
      <w:r>
        <w:t>Support, common participants, shared research interests, infrastructure, or collaboration do not by themselves create ownership, control, authority over members, or authority over any distinct institution associated with Mielogos.</w:t>
      </w:r>
    </w:p>
    <w:p>
      <w:pPr>
        <w:pStyle w:val="Heading2"/>
      </w:pPr>
      <w:r>
        <w:t>Section 3. Shared Founder or Participants</w:t>
      </w:r>
    </w:p>
    <w:p>
      <w:r>
        <w:rPr>
          <w:i w:val="0"/>
        </w:rPr>
        <w:t>The same person may hold roles in both institutions. Such overlap does not collapse their identities. Where institutional capacity is material, the role being exercised should be made clear.</w:t>
      </w:r>
    </w:p>
    <w:p>
      <w:pPr>
        <w:pStyle w:val="Heading2"/>
      </w:pPr>
      <w:r>
        <w:t>Section 4. Research Relationship</w:t>
      </w:r>
    </w:p>
    <w:p>
      <w:r>
        <w:rPr>
          <w:i w:val="0"/>
        </w:rPr>
        <w:t>Mielogos may draw upon, discuss, publish, reference, or build upon research associated with FFRI-NM, and FFRI-NM may study Mielogos or related fields.</w:t>
      </w:r>
    </w:p>
    <w:p>
      <w:r>
        <w:rPr>
          <w:i w:val="0"/>
        </w:rPr>
        <w:t>Research support or hosting shall not by itself determine research conclusions.</w:t>
      </w:r>
    </w:p>
    <w:p>
      <w:pPr>
        <w:pStyle w:val="Heading2"/>
      </w:pPr>
      <w:r>
        <w:t>Section 5. Financial or Material Support</w:t>
      </w:r>
    </w:p>
    <w:p>
      <w:r>
        <w:rPr>
          <w:i w:val="0"/>
        </w:rPr>
        <w:t>Any financial transfer or material support from FFRI-NM must comply with the lawful authority and active economic policies of FFRI-NM at the time of the support.</w:t>
      </w:r>
    </w:p>
    <w:p>
      <w:r>
        <w:rPr>
          <w:i w:val="0"/>
        </w:rPr>
        <w:t>Public statements concerning funding, sponsorship, legal affiliation, ownership, or formal partnership shall reflect the actual arrangement then in force. General support language shall not be used to imply a financial transfer that did not occur.</w:t>
      </w:r>
    </w:p>
    <w:p>
      <w:pPr>
        <w:pStyle w:val="Heading2"/>
      </w:pPr>
      <w:r>
        <w:t>Section 6. Shared Infrastructure</w:t>
      </w:r>
    </w:p>
    <w:p>
      <w:r>
        <w:rPr>
          <w:i w:val="0"/>
        </w:rPr>
        <w:t>Mielogos and FFRI-NM may share technical services, hosting, research resources, administration, or other facilities where practical. Shared infrastructure does not make one institution a subdivision of the other.</w:t>
      </w:r>
    </w:p>
    <w:p>
      <w:r>
        <w:rPr>
          <w:i w:val="0"/>
        </w:rPr>
        <w:t>Authority over shared resources should be documented where control could materially affect institutional continuity.</w:t>
      </w:r>
    </w:p>
    <w:p>
      <w:pPr>
        <w:pStyle w:val="Heading2"/>
      </w:pPr>
      <w:r>
        <w:t>Section 7. Future Agreements</w:t>
      </w:r>
    </w:p>
    <w:p>
      <w:r>
        <w:rPr>
          <w:i w:val="0"/>
        </w:rPr>
        <w:t>Mielogos and FFRI-NM may enter future agreements concerning research, infrastructure, funding, events, publications, administration, or other projects. A specific collaboration shall not silently amend the constitutional relationship between the institutions as a whole.</w:t>
      </w:r>
    </w:p>
    <w:p>
      <w:pPr>
        <w:pStyle w:val="ConstitutionQuote"/>
      </w:pPr>
      <w:r>
        <w:t>Cooperation without identity. Support without ownership. Funding, if any, without disguised governance.</w:t>
      </w:r>
    </w:p>
    <w:p>
      <w:pPr>
        <w:pStyle w:val="Heading1"/>
        <w:pageBreakBefore/>
      </w:pPr>
      <w:r>
        <w:t>ARTICLE XII — NAME, MARKS, AND PUBLIC REPRESENTATION</w:t>
      </w:r>
    </w:p>
    <w:p>
      <w:pPr>
        <w:pStyle w:val="Heading2"/>
      </w:pPr>
      <w:r>
        <w:t>Section 1. Institutional Names and Marks</w:t>
      </w:r>
    </w:p>
    <w:p>
      <w:r>
        <w:t>Mielogos may adopt and maintain the name MIELOGOS together with Association logos, wordmarks, badges, member identifiers, programme marks, and other identifiers. The Mielogos Prize may use related names or marks under arrangements established separately. Shared branding does not erase institutional separation.</w:t>
      </w:r>
    </w:p>
    <w:p>
      <w:pPr>
        <w:pStyle w:val="Heading2"/>
      </w:pPr>
      <w:r>
        <w:t>Section 2. Member Identification</w:t>
      </w:r>
    </w:p>
    <w:p>
      <w:r>
        <w:rPr>
          <w:i w:val="0"/>
        </w:rPr>
        <w:t>A current member may accurately describe themselves as a Member of Mielogos or by the designation corresponding to their membership class.</w:t>
      </w:r>
    </w:p>
    <w:p>
      <w:r>
        <w:t>Membership identification shall not be used in a manner that reasonably implies certification, endorsement, agency, or status in relation to The Mielogos Prize where none exists.</w:t>
      </w:r>
    </w:p>
    <w:p>
      <w:pPr>
        <w:pStyle w:val="Heading2"/>
      </w:pPr>
      <w:r>
        <w:t>Section 3. Representation Authority</w:t>
      </w:r>
    </w:p>
    <w:p>
      <w:r>
        <w:rPr>
          <w:i w:val="0"/>
        </w:rPr>
        <w:t>Membership does not authorize a person to speak for Mielogos. A member may speak as a member but not on behalf of the Association unless expressly authorized.</w:t>
      </w:r>
    </w:p>
    <w:p>
      <w:r>
        <w:rPr>
          <w:i w:val="0"/>
        </w:rPr>
        <w:t>Representation authority may be general, role-based, project-specific, temporary, or limited to a defined event or institutional relationship and does not exceed the scope granted.</w:t>
      </w:r>
    </w:p>
    <w:p>
      <w:pPr>
        <w:pStyle w:val="Heading2"/>
      </w:pPr>
      <w:r>
        <w:t>Section 4. Official Statements and Programmes</w:t>
      </w:r>
    </w:p>
    <w:p>
      <w:r>
        <w:rPr>
          <w:i w:val="0"/>
        </w:rPr>
        <w:t>An Official Mielogos Statement is one adopted or issued under authorized institutional authority. Statements by members, working groups, judges, advisers, researchers, or the Founder in a personal capacity do not automatically become Association positions.</w:t>
      </w:r>
    </w:p>
    <w:p>
      <w:r>
        <w:rPr>
          <w:i w:val="0"/>
        </w:rPr>
        <w:t>Member-Led Initiatives may accurately state their connection to the Mielogos community but may not present themselves as official programmes without recognition.</w:t>
      </w:r>
    </w:p>
    <w:p>
      <w:pPr>
        <w:pStyle w:val="Heading2"/>
      </w:pPr>
      <w:r>
        <w:t>Section 5. Protection Against Misrepresentation</w:t>
      </w:r>
    </w:p>
    <w:p>
      <w:r>
        <w:t>Mielogos may take proportionate action against false claims of endorsement, impersonation, fraudulent solicitation, material misrepresentation of the relationship between Mielogos and The Mielogos Prize, or other uses of Association identity likely to mislead third parties.</w:t>
      </w:r>
    </w:p>
    <w:p>
      <w:r>
        <w:rPr>
          <w:i w:val="0"/>
        </w:rPr>
        <w:t>This authority shall not be used to suppress lawful criticism, commentary, scholarship, parody, or fair reference.</w:t>
      </w:r>
    </w:p>
    <w:p>
      <w:pPr>
        <w:pStyle w:val="Heading2"/>
      </w:pPr>
      <w:r>
        <w:t>Section 6. Custody of Marks</w:t>
      </w:r>
    </w:p>
    <w:p>
      <w:r>
        <w:rPr>
          <w:i w:val="0"/>
        </w:rPr>
        <w:t>Legal registration or custody of a Mielogos mark by a particular person or entity does not itself create constitutional ownership of the Association. Arrangements concerning central marks should be documented sufficiently to protect institutional continuity.</w:t>
      </w:r>
    </w:p>
    <w:p>
      <w:pPr>
        <w:pStyle w:val="Heading1"/>
        <w:pageBreakBefore/>
      </w:pPr>
      <w:r>
        <w:t>ARTICLE XIII — RECORDS, TRANSPARENCY, AND PRIVACY</w:t>
      </w:r>
    </w:p>
    <w:p>
      <w:pPr>
        <w:pStyle w:val="Heading2"/>
      </w:pPr>
      <w:r>
        <w:t>Section 1. Recordkeeping Principle</w:t>
      </w:r>
    </w:p>
    <w:p>
      <w:r>
        <w:rPr>
          <w:i w:val="0"/>
        </w:rPr>
        <w:t>Mielogos shall maintain records proportionate to the institutional consequence of its actions for continuity, accountability, historical accuracy, institutional legibility, and responsible administration.</w:t>
      </w:r>
    </w:p>
    <w:p>
      <w:pPr>
        <w:pStyle w:val="Heading2"/>
      </w:pPr>
      <w:r>
        <w:t>Section 2. Public Governing Record</w:t>
      </w:r>
    </w:p>
    <w:p>
      <w:r>
        <w:t>Once adopted, the current Constitution and policies materially affecting membership, governance, conduct, or institutional rights should ordinarily be publicly accessible while in force.</w:t>
      </w:r>
    </w:p>
    <w:p>
      <w:r>
        <w:rPr>
          <w:i w:val="0"/>
        </w:rPr>
        <w:t>Where governance roles beyond the Founder are created, persons exercising significant institutional authority should be publicly identifiable to the extent reasonably necessary for accountability.</w:t>
      </w:r>
    </w:p>
    <w:p>
      <w:pPr>
        <w:pStyle w:val="Heading2"/>
      </w:pPr>
      <w:r>
        <w:t>Section 3. Historical Integrity and Canonical Status</w:t>
      </w:r>
    </w:p>
    <w:p>
      <w:r>
        <w:rPr>
          <w:i w:val="0"/>
        </w:rPr>
        <w:t>Material institutional history should distinguish what was true at a particular time, what was later amended or corrected, and what is currently in force.</w:t>
      </w:r>
    </w:p>
    <w:p>
      <w:r>
        <w:rPr>
          <w:i w:val="0"/>
        </w:rPr>
        <w:t>Where documents exist in multiple locations or formats, Mielogos should maintain an identifiable canonical status. Superseded versions may remain publicly accessible as historical records.</w:t>
      </w:r>
    </w:p>
    <w:p>
      <w:pPr>
        <w:pStyle w:val="Heading2"/>
      </w:pPr>
      <w:r>
        <w:t>Section 4. Translations</w:t>
      </w:r>
    </w:p>
    <w:p>
      <w:r>
        <w:rPr>
          <w:i w:val="0"/>
        </w:rPr>
        <w:t>Mielogos may publish translations of governing documents. Unless a translation has been expressly adopted as co-authoritative, the canonical language version identified under Article XVIII governs substantive discrepancies.</w:t>
      </w:r>
    </w:p>
    <w:p>
      <w:pPr>
        <w:pStyle w:val="Heading2"/>
      </w:pPr>
      <w:r>
        <w:t>Section 5. Member Records and Data Minimization</w:t>
      </w:r>
    </w:p>
    <w:p>
      <w:r>
        <w:rPr>
          <w:i w:val="0"/>
        </w:rPr>
        <w:t>Membership records should contain only information reasonably necessary for admission, administration, communication, member-selected public directory functions, institutional rights, and historical accuracy.</w:t>
      </w:r>
    </w:p>
    <w:p>
      <w:r>
        <w:rPr>
          <w:i w:val="0"/>
        </w:rPr>
        <w:t>Mielogos shall not treat private membership information as a commodity for sale to advertisers, data brokers, or unrelated commercial parties.</w:t>
      </w:r>
    </w:p>
    <w:p>
      <w:pPr>
        <w:pStyle w:val="ConstitutionQuote"/>
      </w:pPr>
      <w:r>
        <w:t>Collect what is needed. Retain what remains justified. Do not accumulate personal information merely because storage is inexpensive.</w:t>
      </w:r>
    </w:p>
    <w:p>
      <w:pPr>
        <w:pStyle w:val="Heading2"/>
      </w:pPr>
      <w:r>
        <w:t>Section 6. Creative Privacy</w:t>
      </w:r>
    </w:p>
    <w:p>
      <w:r>
        <w:rPr>
          <w:i w:val="0"/>
        </w:rPr>
        <w:t>Private creative records are not ordinary institutional records merely because a person is a member. Mielogos should not routinely retain complete human–AI interaction histories, unpublished drafts, private prompts, private correspondence, or equivalent creative archives.</w:t>
      </w:r>
    </w:p>
    <w:p>
      <w:r>
        <w:rPr>
          <w:i w:val="0"/>
        </w:rPr>
        <w:t>Where limited material is voluntarily provided for a defined purpose, its use and retention should remain proportionate to that purpose.</w:t>
      </w:r>
    </w:p>
    <w:p>
      <w:pPr>
        <w:pStyle w:val="Heading2"/>
      </w:pPr>
      <w:r>
        <w:t>Section 7. Retention, Security, and Access</w:t>
      </w:r>
    </w:p>
    <w:p>
      <w:r>
        <w:rPr>
          <w:i w:val="0"/>
        </w:rPr>
        <w:t>Mielogos may establish retention schedules appropriate to different categories of information. Permanent retention should be reserved primarily for records with enduring constitutional, historical, legal, financial, or programme significance.</w:t>
      </w:r>
    </w:p>
    <w:p>
      <w:r>
        <w:rPr>
          <w:i w:val="0"/>
        </w:rPr>
        <w:t>Reasonable measures should protect non-public records. Technical access shall be granted according to operational need rather than status alone, and possession of credentials does not authorize use beyond the purpose for which access was granted.</w:t>
      </w:r>
    </w:p>
    <w:p>
      <w:pPr>
        <w:pStyle w:val="Heading2"/>
      </w:pPr>
      <w:r>
        <w:t>Section 8. Transparency Without Surveillance</w:t>
      </w:r>
    </w:p>
    <w:p>
      <w:r>
        <w:rPr>
          <w:i w:val="0"/>
        </w:rPr>
        <w:t>The transparency obligations of Mielogos concern the actions and authority of the institution. They do not create a general institutional right to surveil the private creative lives of members.</w:t>
      </w:r>
    </w:p>
    <w:p>
      <w:pPr>
        <w:pStyle w:val="Heading1"/>
        <w:pageBreakBefore/>
      </w:pPr>
      <w:r>
        <w:t>ARTICLE XIV — CONDUCT, DISPUTES, AND INSTITUTIONAL FAIRNESS</w:t>
      </w:r>
    </w:p>
    <w:p>
      <w:pPr>
        <w:pStyle w:val="Heading2"/>
      </w:pPr>
      <w:r>
        <w:t>Section 1. Purpose and Code of Conduct</w:t>
      </w:r>
    </w:p>
    <w:p>
      <w:r>
        <w:rPr>
          <w:i w:val="0"/>
        </w:rPr>
        <w:t>Mielogos may maintain a separate Code of Conduct governing interpersonal behavior, use of institutional spaces, confidentiality, harassment, abuse, discrimination, impersonation, fraud, and related matters.</w:t>
      </w:r>
    </w:p>
    <w:p>
      <w:r>
        <w:rPr>
          <w:i w:val="0"/>
        </w:rPr>
        <w:t>Conduct standards exist to address material harm and institutional misuse, not to enforce unnecessary intellectual conformity.</w:t>
      </w:r>
    </w:p>
    <w:p>
      <w:pPr>
        <w:pStyle w:val="Heading2"/>
      </w:pPr>
      <w:r>
        <w:t>Section 2. Core Conduct Standard and Intellectual Disagreement</w:t>
      </w:r>
    </w:p>
    <w:p>
      <w:r>
        <w:rPr>
          <w:i w:val="0"/>
        </w:rPr>
        <w:t>Members and authorized participants shall not materially misuse Mielogos to harass or threaten others, impersonate another person or institution, commit fraud, deliberately falsify institutional status, misappropriate confidential information, engage in targeted abuse, or falsely claim institutional authority.</w:t>
      </w:r>
    </w:p>
    <w:p>
      <w:r>
        <w:rPr>
          <w:i w:val="0"/>
        </w:rPr>
        <w:t>Strong disagreement concerning literary standards, authorship, AI ethics, copyright, technology, machine agency, creative practice, institutional policy, or Mielogos itself is not by itself misconduct.</w:t>
      </w:r>
    </w:p>
    <w:p>
      <w:pPr>
        <w:pStyle w:val="Heading2"/>
      </w:pPr>
      <w:r>
        <w:t>Section 3. Complaints and Scope</w:t>
      </w:r>
    </w:p>
    <w:p>
      <w:r>
        <w:rPr>
          <w:i w:val="0"/>
        </w:rPr>
        <w:t>A member or other affected participant may raise a complaint concerning conduct materially relevant to Mielogos. Complaints should identify the alleged conduct with enough specificity to permit meaningful response.</w:t>
      </w:r>
    </w:p>
    <w:p>
      <w:r>
        <w:rPr>
          <w:i w:val="0"/>
        </w:rPr>
        <w:t>Mielogos is not required to adjudicate unrelated private disputes merely because one or more participants are members.</w:t>
      </w:r>
    </w:p>
    <w:p>
      <w:pPr>
        <w:pStyle w:val="Heading2"/>
      </w:pPr>
      <w:r>
        <w:t>Section 4. Informal Resolution</w:t>
      </w:r>
    </w:p>
    <w:p>
      <w:r>
        <w:rPr>
          <w:i w:val="0"/>
        </w:rPr>
        <w:t>Where appropriate and safe, minor disputes may be addressed through clarification, correction, direct communication, mediation, apology, or another proportionate informal process.</w:t>
      </w:r>
    </w:p>
    <w:p>
      <w:r>
        <w:rPr>
          <w:i w:val="0"/>
        </w:rPr>
        <w:t>Informal resolution shall not be required where serious misconduct, significant power imbalance, retaliation risk, or comparable circumstances make it inappropriate.</w:t>
      </w:r>
    </w:p>
    <w:p>
      <w:pPr>
        <w:pStyle w:val="Heading2"/>
      </w:pPr>
      <w:r>
        <w:t>Section 5. Procedural Fairness</w:t>
      </w:r>
    </w:p>
    <w:p>
      <w:r>
        <w:rPr>
          <w:i w:val="0"/>
        </w:rPr>
        <w:t>Before a final adverse institutional decision, an affected person should ordinarily receive notice sufficient to understand the concern and applicable rule, together with a reasonable opportunity to respond.</w:t>
      </w:r>
    </w:p>
    <w:p>
      <w:r>
        <w:rPr>
          <w:i w:val="0"/>
        </w:rPr>
        <w:t>Material disciplinary decisions should state, at an appropriate level, the issue considered, applicable rule, determination, and resulting action.</w:t>
      </w:r>
    </w:p>
    <w:p>
      <w:pPr>
        <w:pStyle w:val="Heading2"/>
      </w:pPr>
      <w:r>
        <w:t>Section 6. Neutrality of Process During Genesis</w:t>
      </w:r>
    </w:p>
    <w:p>
      <w:r>
        <w:rPr>
          <w:i w:val="0"/>
        </w:rPr>
        <w:t>Where practical, a person materially involved in the underlying dispute should not serve as its sole adjudicator.</w:t>
      </w:r>
    </w:p>
    <w:p>
      <w:r>
        <w:rPr>
          <w:i w:val="0"/>
        </w:rPr>
        <w:t>During the Genesis Stage, if no independent internal decision-maker exists and the Founder is personally involved in a serious matter, the Founder should seek an external or otherwise reasonably independent adviser. The absence of a large governance structure shall not be used to disguise an unavoidable limitation in independence.</w:t>
      </w:r>
    </w:p>
    <w:p>
      <w:pPr>
        <w:pStyle w:val="Heading2"/>
      </w:pPr>
      <w:r>
        <w:t>Section 7. Proportionality and Good-Faith Error</w:t>
      </w:r>
    </w:p>
    <w:p>
      <w:r>
        <w:rPr>
          <w:i w:val="0"/>
        </w:rPr>
        <w:t>Institutional responses should be proportionate to seriousness, intent, harm, repetition, correction, and institutional context. Possible responses may range from no action or clarification to warning, programme restriction, suspension, or termination.</w:t>
      </w:r>
    </w:p>
    <w:p>
      <w:r>
        <w:rPr>
          <w:i w:val="0"/>
        </w:rPr>
        <w:t>Good-faith error, including correction or reinterpretation of an authorship or provenance description, should be distinguished from deliberate material misrepresentation.</w:t>
      </w:r>
    </w:p>
    <w:p>
      <w:pPr>
        <w:pStyle w:val="Heading2"/>
      </w:pPr>
      <w:r>
        <w:t>Section 8. Retaliation and Confidentiality</w:t>
      </w:r>
    </w:p>
    <w:p>
      <w:r>
        <w:rPr>
          <w:i w:val="0"/>
        </w:rPr>
        <w:t>A person shall not be penalized merely for raising a good-faith complaint, participating in a conduct process, providing relevant information, or requesting review.</w:t>
      </w:r>
    </w:p>
    <w:p>
      <w:r>
        <w:rPr>
          <w:i w:val="0"/>
        </w:rPr>
        <w:t>Conduct matters should be handled with appropriate discretion. Information should be shared only as broadly as reasonably required for fairness, safety, law, or necessary public correction.</w:t>
      </w:r>
    </w:p>
    <w:p>
      <w:pPr>
        <w:pStyle w:val="Heading2"/>
      </w:pPr>
      <w:r>
        <w:t>Section 9. Review and External Remedies</w:t>
      </w:r>
    </w:p>
    <w:p>
      <w:r>
        <w:rPr>
          <w:i w:val="0"/>
        </w:rPr>
        <w:t>As institutional capacity develops, Mielogos should establish review or appeal procedures for serious disciplinary decisions. During early Genesis, serious decisions remain eligible for reconsideration upon substantial new information or material procedural error.</w:t>
      </w:r>
    </w:p>
    <w:p>
      <w:r>
        <w:rPr>
          <w:i w:val="0"/>
        </w:rPr>
        <w:t>Internal procedures do not replace competent courts, emergency services, law enforcement, regulators, or other external authorities where properly relevant.</w:t>
      </w:r>
    </w:p>
    <w:p>
      <w:pPr>
        <w:pStyle w:val="Heading1"/>
        <w:pageBreakBefore/>
      </w:pPr>
      <w:r>
        <w:t>ARTICLE XV — CONFLICTS OF INTEREST</w:t>
      </w:r>
    </w:p>
    <w:p>
      <w:pPr>
        <w:pStyle w:val="Heading2"/>
      </w:pPr>
      <w:r>
        <w:t>Section 1. Definition</w:t>
      </w:r>
    </w:p>
    <w:p>
      <w:r>
        <w:rPr>
          <w:i w:val="0"/>
        </w:rPr>
        <w:t>A conflict of interest exists where a person’s personal, professional, financial, relational, creative, or institutional interests could materially affect, or reasonably appear to affect, impartial exercise of Mielogos authority.</w:t>
      </w:r>
    </w:p>
    <w:p>
      <w:r>
        <w:rPr>
          <w:i w:val="0"/>
        </w:rPr>
        <w:t>The existence of a conflict does not by itself imply wrongdoing.</w:t>
      </w:r>
    </w:p>
    <w:p>
      <w:pPr>
        <w:pStyle w:val="Heading2"/>
      </w:pPr>
      <w:r>
        <w:t>Section 2. Disclosure and Management</w:t>
      </w:r>
    </w:p>
    <w:p>
      <w:r>
        <w:rPr>
          <w:i w:val="0"/>
        </w:rPr>
        <w:t>A person participating in a material institutional decision should disclose a relevant conflict when they know or reasonably should know that it may matter.</w:t>
      </w:r>
    </w:p>
    <w:p>
      <w:r>
        <w:rPr>
          <w:i w:val="0"/>
        </w:rPr>
        <w:t>Disclosure may be sufficient in some cases. Other conflicts may require limited participation, independent review, recusal, transfer of decision authority, or another safeguard. Disclosure is not automatically a cure.</w:t>
      </w:r>
    </w:p>
    <w:p>
      <w:pPr>
        <w:pStyle w:val="Heading2"/>
      </w:pPr>
      <w:r>
        <w:t>Section 3. Recusal</w:t>
      </w:r>
    </w:p>
    <w:p>
      <w:r>
        <w:t>A person should recuse from substantive decision-making where the conflict is sufficiently direct that reasonable institutional confidence cannot otherwise be preserved. This may apply to competitive evaluation, contracts, payments, appointments, discipline, grants, formal recognition, or comparable decisions.</w:t>
      </w:r>
    </w:p>
    <w:p>
      <w:pPr>
        <w:pStyle w:val="Heading2"/>
      </w:pPr>
      <w:r>
        <w:t>Section 4. Founder Conflicts During Genesis</w:t>
      </w:r>
    </w:p>
    <w:p>
      <w:r>
        <w:rPr>
          <w:i w:val="0"/>
        </w:rPr>
        <w:t>Because authority is concentrated during Genesis, material Founder conflicts should be recorded. Independent advice should be obtained where practical.</w:t>
      </w:r>
    </w:p>
    <w:p>
      <w:r>
        <w:rPr>
          <w:i w:val="0"/>
        </w:rPr>
        <w:t>Where the Founder is a direct party to a serious dispute, transaction, competitive award, or comparable matter, decision authority should be separated where a lawful and operationally real alternative exists. Mielogos shall not create fictitious decision-makers merely to conceal the absence of independence.</w:t>
      </w:r>
    </w:p>
    <w:p>
      <w:pPr>
        <w:pStyle w:val="Heading2"/>
      </w:pPr>
      <w:r>
        <w:t>Section 5. Conflicts Involving Associated Institutions</w:t>
      </w:r>
    </w:p>
    <w:p>
      <w:r>
        <w:t>Where a Mielogos decision involves a person who also exercises authority in a distinct associated institution, including The Mielogos Prize, the overlap should be treated as a potential conflict when materially relevant. Mielogos conflict rules govern Mielogos decisions; the associated institution’s own rules govern its decisions. Shared participants do not merge the two governance systems.</w:t>
      </w:r>
    </w:p>
    <w:p>
      <w:pPr>
        <w:pStyle w:val="Heading2"/>
      </w:pPr>
      <w:r>
        <w:t>Section 6. Financial and Institutional Overlap</w:t>
      </w:r>
    </w:p>
    <w:p>
      <w:r>
        <w:rPr>
          <w:i w:val="0"/>
        </w:rPr>
        <w:t>Persons exercising authority over Association resources should disclose material financial interests in transactions under consideration. Where Mielogos purchases services from the Founder, a member, officer, Council member, close collaborator, or related entity, the relationship should be documented and the terms reasonably defensible as serving the Association.</w:t>
      </w:r>
    </w:p>
    <w:p>
      <w:r>
        <w:rPr>
          <w:i w:val="0"/>
        </w:rPr>
        <w:t>Holding roles in Mielogos and another institution, including FFRI-NM, is not itself misconduct. The relevant institutional capacity should be distinguished where interests materially diverge.</w:t>
      </w:r>
    </w:p>
    <w:p>
      <w:pPr>
        <w:pStyle w:val="Heading2"/>
      </w:pPr>
      <w:r>
        <w:t>Section 7. Creative and Editorial Conflicts</w:t>
      </w:r>
    </w:p>
    <w:p>
      <w:r>
        <w:rPr>
          <w:i w:val="0"/>
        </w:rPr>
        <w:t>A judge, editor, reviewer, or programme administrator may have a material conflict where they participated substantively in the development of a work under consideration through authorship, co-authorship, substantive editing, paid developmental work, close creative collaboration, or a comparable relationship.</w:t>
      </w:r>
    </w:p>
    <w:p>
      <w:r>
        <w:rPr>
          <w:i w:val="0"/>
        </w:rPr>
        <w:t>Routine acquaintance or ordinary public interaction does not automatically create a disqualifying conflict.</w:t>
      </w:r>
    </w:p>
    <w:p>
      <w:pPr>
        <w:pStyle w:val="Heading2"/>
      </w:pPr>
      <w:r>
        <w:t>Section 8. Donors, Supporters, and Advisers</w:t>
      </w:r>
    </w:p>
    <w:p>
      <w:r>
        <w:rPr>
          <w:i w:val="0"/>
        </w:rPr>
        <w:t>Donors, sponsors, supporters, or advisers shall not receive favorable institutional treatment merely because of their contribution or advisory role. Financial dependency or a material interest in an outcome should be considered separately where relevant.</w:t>
      </w:r>
    </w:p>
    <w:p>
      <w:pPr>
        <w:pStyle w:val="Heading2"/>
      </w:pPr>
      <w:r>
        <w:t>Section 9. Conflict Records and Proportionality</w:t>
      </w:r>
    </w:p>
    <w:p>
      <w:r>
        <w:rPr>
          <w:i w:val="0"/>
        </w:rPr>
        <w:t>Material conflicts and their management should be documented where the underlying decision is sufficiently significant to require a formal record.</w:t>
      </w:r>
    </w:p>
    <w:p>
      <w:r>
        <w:rPr>
          <w:i w:val="0"/>
        </w:rPr>
        <w:t>Conflict rules should protect institutional integrity without making ordinary human relationships impossible. The question is whether a connection creates a material risk to fair and accountable judgment.</w:t>
      </w:r>
    </w:p>
    <w:p>
      <w:pPr>
        <w:pStyle w:val="Heading1"/>
        <w:pageBreakBefore/>
      </w:pPr>
      <w:r>
        <w:t>ARTICLE XVI — AMENDMENTS</w:t>
      </w:r>
    </w:p>
    <w:p>
      <w:pPr>
        <w:pStyle w:val="Heading2"/>
      </w:pPr>
      <w:r>
        <w:t>Section 1. Amendment Principle and Constitutional Supremacy</w:t>
      </w:r>
    </w:p>
    <w:p>
      <w:r>
        <w:rPr>
          <w:i w:val="0"/>
        </w:rPr>
        <w:t>This Constitution may be amended when institutional development, experience, law, or changing circumstances make amendment necessary or useful.</w:t>
      </w:r>
    </w:p>
    <w:p>
      <w:r>
        <w:rPr>
          <w:i w:val="0"/>
        </w:rPr>
        <w:t>A policy, programme rule, administrative decision, website edit, contract, public statement, or technical change cannot amend the Constitution merely by contradicting it. Where a subordinate rule conflicts with the Constitution, the Constitution governs.</w:t>
      </w:r>
    </w:p>
    <w:p>
      <w:pPr>
        <w:pStyle w:val="Heading2"/>
      </w:pPr>
      <w:r>
        <w:t>Section 2. Amendment During Genesis</w:t>
      </w:r>
    </w:p>
    <w:p>
      <w:r>
        <w:rPr>
          <w:i w:val="0"/>
        </w:rPr>
        <w:t>During the Genesis Stage, the Founder may adopt amendments under the constitutional authority established in Articles VI–VIII.</w:t>
      </w:r>
    </w:p>
    <w:p>
      <w:r>
        <w:rPr>
          <w:i w:val="0"/>
        </w:rPr>
        <w:t>Material amendments should identify the date, provision changed, substance of change, authority, and resulting version. Minor typographical, clerical, formatting, or non-substantive corrections need not be treated as formal amendments.</w:t>
      </w:r>
    </w:p>
    <w:p>
      <w:pPr>
        <w:pStyle w:val="Heading2"/>
      </w:pPr>
      <w:r>
        <w:t>Section 3. Member Interests and Prospective Effect</w:t>
      </w:r>
    </w:p>
    <w:p>
      <w:r>
        <w:rPr>
          <w:i w:val="0"/>
        </w:rPr>
        <w:t>Where reasonably practicable, amendments materially affecting membership rights, obligations, fees, discipline, or governance participation should be announced before or at the time they become effective.</w:t>
      </w:r>
    </w:p>
    <w:p>
      <w:r>
        <w:rPr>
          <w:i w:val="0"/>
        </w:rPr>
        <w:t>Material new burdens should ordinarily operate prospectively.</w:t>
      </w:r>
    </w:p>
    <w:p>
      <w:pPr>
        <w:pStyle w:val="Heading2"/>
      </w:pPr>
      <w:r>
        <w:t>Section 4. No Retroactive or Hidden Amendment</w:t>
      </w:r>
    </w:p>
    <w:p>
      <w:r>
        <w:rPr>
          <w:i w:val="0"/>
        </w:rPr>
        <w:t>An amendment shall not ordinarily rewrite the historical status of actions validly taken under an earlier constitutional version. Any retrospective effect should be express and justified.</w:t>
      </w:r>
    </w:p>
    <w:p>
      <w:r>
        <w:rPr>
          <w:i w:val="0"/>
        </w:rPr>
        <w:t>Mielogos shall not materially alter constitutional meaning through unannounced website replacement, undocumented file substitution, or another process that obscures what changed.</w:t>
      </w:r>
    </w:p>
    <w:p>
      <w:pPr>
        <w:pStyle w:val="Heading2"/>
      </w:pPr>
      <w:r>
        <w:t>Section 5. Governance Transition</w:t>
      </w:r>
    </w:p>
    <w:p>
      <w:r>
        <w:rPr>
          <w:i w:val="0"/>
        </w:rPr>
        <w:t>The transition from Genesis to distributed governance requires a constitutional amendment or replacement constitutional version defining the new governing bodies, selection procedures, terms, removal, voting, conflict rules, financial authority, amendment authority, and continuity arrangements.</w:t>
      </w:r>
    </w:p>
    <w:p>
      <w:pPr>
        <w:pStyle w:val="Heading2"/>
      </w:pPr>
      <w:r>
        <w:t>Section 6. Post-Genesis Amendment Procedure</w:t>
      </w:r>
    </w:p>
    <w:p>
      <w:r>
        <w:rPr>
          <w:i w:val="0"/>
        </w:rPr>
        <w:t>Before the Genesis Stage ends, Mielogos shall adopt a permanent amendment procedure appropriate to the distributed governance structure. The permanent procedure should provide meaningful participation by the persons or bodies upon whom constitutional authority is conferred and may establish elevated thresholds for fundamental matters.</w:t>
      </w:r>
    </w:p>
    <w:p>
      <w:pPr>
        <w:pStyle w:val="Heading2"/>
      </w:pPr>
      <w:r>
        <w:t>Section 7. Amendment History and No Conversion of Membership into Property</w:t>
      </w:r>
    </w:p>
    <w:p>
      <w:r>
        <w:rPr>
          <w:i w:val="0"/>
        </w:rPr>
        <w:t>Superseded constitutional versions should be preserved where reasonably practical so that the sequence of authority remains legible.</w:t>
      </w:r>
    </w:p>
    <w:p>
      <w:r>
        <w:rPr>
          <w:i w:val="0"/>
        </w:rPr>
        <w:t>No amendment may retroactively convert ordinary membership into ownership shares, equity, inheritable rights, claims upon Association property, or automatic financial entitlement.</w:t>
      </w:r>
    </w:p>
    <w:p>
      <w:pPr>
        <w:pStyle w:val="Heading1"/>
        <w:pageBreakBefore/>
      </w:pPr>
      <w:r>
        <w:t>ARTICLE XVII — DISSOLUTION</w:t>
      </w:r>
    </w:p>
    <w:p>
      <w:pPr>
        <w:pStyle w:val="Heading2"/>
      </w:pPr>
      <w:r>
        <w:t>Section 1. Dissolution Principle</w:t>
      </w:r>
    </w:p>
    <w:p>
      <w:r>
        <w:rPr>
          <w:i w:val="0"/>
        </w:rPr>
        <w:t>Mielogos may be dissolved only through a deliberate Constitutional Decision. Loss of a website, domain, repository, account, legal entity, funding source, technical platform, programme, or administrator does not by itself dissolve the Association.</w:t>
      </w:r>
    </w:p>
    <w:p>
      <w:pPr>
        <w:pStyle w:val="Heading2"/>
      </w:pPr>
      <w:r>
        <w:t>Section 2. Dissolution Authority</w:t>
      </w:r>
    </w:p>
    <w:p>
      <w:r>
        <w:rPr>
          <w:i w:val="0"/>
        </w:rPr>
        <w:t>During the Genesis Stage, dissolution may be decided by the Founder where continued operation is no longer reasonably viable or consistent with the institutional purpose. Following governance transition, dissolution shall occur only under the procedure established by the then-current Constitution.</w:t>
      </w:r>
    </w:p>
    <w:p>
      <w:r>
        <w:rPr>
          <w:i w:val="0"/>
        </w:rPr>
        <w:t>A dissolution record should address, to the extent applicable, reason, effective date, members, programmes, records, assets, obligations, intellectual property, and public notice.</w:t>
      </w:r>
    </w:p>
    <w:p>
      <w:pPr>
        <w:pStyle w:val="Heading2"/>
      </w:pPr>
      <w:r>
        <w:t>Section 3. Members, Obligations, and Remaining Assets</w:t>
      </w:r>
    </w:p>
    <w:p>
      <w:r>
        <w:rPr>
          <w:i w:val="0"/>
        </w:rPr>
        <w:t>Dissolution ends current membership but does not give members a divisible ownership interest in Mielogos or an automatic right to assets, cash, intellectual property, domains, or archives.</w:t>
      </w:r>
    </w:p>
    <w:p>
      <w:r>
        <w:rPr>
          <w:i w:val="0"/>
        </w:rPr>
        <w:t>Lawful outstanding obligations should be addressed before remaining assets are transferred or disposed of. Remaining assets shall be handled according to applicable law, valid restrictions, and the governing economic policy. Where lawful and appropriate, mission-related assets may be transferred to a compatible public-interest or cultural organization.</w:t>
      </w:r>
    </w:p>
    <w:p>
      <w:pPr>
        <w:pStyle w:val="Heading2"/>
      </w:pPr>
      <w:r>
        <w:t>Section 4. Restricted Resources, Archives, and Privacy</w:t>
      </w:r>
    </w:p>
    <w:p>
      <w:r>
        <w:rPr>
          <w:i w:val="0"/>
        </w:rPr>
        <w:t>Restricted resources shall be handled consistently with their restrictions and applicable law.</w:t>
      </w:r>
    </w:p>
    <w:p>
      <w:r>
        <w:rPr>
          <w:i w:val="0"/>
        </w:rPr>
        <w:t>Mielogos should make reasonable provision for preservation of records with enduring constitutional, historical, scholarly, or cultural significance while avoiding indefinite retention of private member information lacking continuing justification.</w:t>
      </w:r>
    </w:p>
    <w:p>
      <w:pPr>
        <w:pStyle w:val="Heading2"/>
      </w:pPr>
      <w:r>
        <w:t>Section 5. Associated Records and Institutional Marks</w:t>
      </w:r>
    </w:p>
    <w:p>
      <w:r>
        <w:t>Mielogos archives may preserve records describing its historical relationship with The Mielogos Prize where reasonably appropriate. Dissolution of Mielogos does not by itself dissolve, invalidate, transfer, or determine the governance or recognition records of the Prize.</w:t>
      </w:r>
    </w:p>
    <w:p>
      <w:r>
        <w:t>The dissolution decision should specify the treatment of Mielogos names, marks, logos, badges, and other Association identifiers. Separately governed Prize identifiers remain subject to their own lawful and institutional arrangements. Transfer of a mark does not by itself transfer the constitutional or historical identity of Mielogos.</w:t>
      </w:r>
    </w:p>
    <w:p>
      <w:pPr>
        <w:pStyle w:val="Heading2"/>
      </w:pPr>
      <w:r>
        <w:t>Section 6. No Silent Successor and Historical Continuity</w:t>
      </w:r>
    </w:p>
    <w:p>
      <w:r>
        <w:rPr>
          <w:i w:val="0"/>
        </w:rPr>
        <w:t>Another organization does not automatically become the constitutional successor to Mielogos merely because it receives assets, hosts archives, employs former administrators, uses similar terminology, or continues related activities. Any claimed succession must be expressly documented.</w:t>
      </w:r>
    </w:p>
    <w:p>
      <w:r>
        <w:rPr>
          <w:i w:val="0"/>
        </w:rPr>
        <w:t>Dissolution ends the active institution; it does not erase the historical institution.</w:t>
      </w:r>
    </w:p>
    <w:p>
      <w:pPr>
        <w:pStyle w:val="Heading1"/>
        <w:pageBreakBefore/>
      </w:pPr>
      <w:r>
        <w:t>ARTICLE XVIII — CONSTITUTIONAL CONTINUITY, INTERPRETATION, AND CANONICAL AUTHORITY</w:t>
      </w:r>
    </w:p>
    <w:p>
      <w:pPr>
        <w:pStyle w:val="Heading2"/>
      </w:pPr>
      <w:r>
        <w:t>Section 1. One Canonical Constitutional State</w:t>
      </w:r>
    </w:p>
    <w:p>
      <w:r>
        <w:rPr>
          <w:i w:val="0"/>
        </w:rPr>
        <w:t>At any given time, Mielogos shall maintain one identifiable current constitutional state. Multiple copies, formats, translations, mirrors, repositories, websites, or archives may represent that state but do not create multiple independent Constitutions.</w:t>
      </w:r>
    </w:p>
    <w:p>
      <w:r>
        <w:rPr>
          <w:i w:val="0"/>
        </w:rPr>
        <w:t>Each adopted constitutional version should have a clear version identifier, effective date, and status.</w:t>
      </w:r>
    </w:p>
    <w:p>
      <w:pPr>
        <w:pStyle w:val="Heading2"/>
      </w:pPr>
      <w:r>
        <w:t>Section 2. Normative Hierarchy</w:t>
      </w:r>
    </w:p>
    <w:p>
      <w:r>
        <w:rPr>
          <w:i w:val="0"/>
        </w:rPr>
        <w:t>Unless this Constitution expressly provides otherwise, the normative hierarchy of Mielogos is:</w:t>
      </w:r>
    </w:p>
    <w:p>
      <w:pPr>
        <w:pStyle w:val="ListBullet"/>
      </w:pPr>
      <w:r>
        <w:t>The Constitution and valid constitutional amendments.</w:t>
      </w:r>
    </w:p>
    <w:p>
      <w:pPr>
        <w:pStyle w:val="ListBullet"/>
      </w:pPr>
      <w:r>
        <w:t>Constitutionally incorporated instruments, if any.</w:t>
      </w:r>
    </w:p>
    <w:p>
      <w:pPr>
        <w:pStyle w:val="ListBullet"/>
      </w:pPr>
      <w:r>
        <w:t>Association-wide foundational policies adopted under constitutional authority.</w:t>
      </w:r>
    </w:p>
    <w:p>
      <w:pPr>
        <w:pStyle w:val="ListBullet"/>
      </w:pPr>
      <w:r>
        <w:t>Charters governing specific institutional areas or programmes.</w:t>
      </w:r>
    </w:p>
    <w:p>
      <w:pPr>
        <w:pStyle w:val="ListBullet"/>
      </w:pPr>
      <w:r>
        <w:t>Programme rules and procedures.</w:t>
      </w:r>
    </w:p>
    <w:p>
      <w:pPr>
        <w:pStyle w:val="ListBullet"/>
      </w:pPr>
      <w:r>
        <w:t>Formal decisions made under those authorities.</w:t>
      </w:r>
    </w:p>
    <w:p>
      <w:pPr>
        <w:pStyle w:val="ListBullet"/>
      </w:pPr>
      <w:r>
        <w:t>Administrative practices and implementation.</w:t>
      </w:r>
    </w:p>
    <w:p>
      <w:r>
        <w:rPr>
          <w:i w:val="0"/>
        </w:rPr>
        <w:t>A lower-level instrument may elaborate a higher-level one but may not validly contradict it. Historical importance alone does not make every founding document constitutionally supreme.</w:t>
      </w:r>
    </w:p>
    <w:p>
      <w:pPr>
        <w:pStyle w:val="Heading2"/>
      </w:pPr>
      <w:r>
        <w:t>Section 3. Interpretation</w:t>
      </w:r>
    </w:p>
    <w:p>
      <w:r>
        <w:rPr>
          <w:i w:val="0"/>
        </w:rPr>
        <w:t>This Constitution should be interpreted in light of its text, structure, stated purposes, and the institutional distinctions deliberately established within it.</w:t>
      </w:r>
    </w:p>
    <w:p>
      <w:r>
        <w:rPr>
          <w:i w:val="0"/>
        </w:rPr>
        <w:t>Interpretation should preserve, among others, the distinctions: institution ≠ legal wrapper; authority ≠ ownership; membership ≠ certification; classification ≠ eligibility; support ≠ governance; technical access ≠ constitutional authority; and creative transparency ≠ surveillance.</w:t>
      </w:r>
    </w:p>
    <w:p>
      <w:pPr>
        <w:pStyle w:val="Heading2"/>
      </w:pPr>
      <w:r>
        <w:t>Section 4. Document Conflict, Severability, and Legal Compliance</w:t>
      </w:r>
    </w:p>
    <w:p>
      <w:r>
        <w:rPr>
          <w:i w:val="0"/>
        </w:rPr>
        <w:t>Where two Mielogos documents conflict, the instrument possessing higher authority governs. Where equal-authority instruments conflict, the later validly adopted provision normally governs to the extent of direct conflict unless the adopting decision states otherwise.</w:t>
      </w:r>
    </w:p>
    <w:p>
      <w:r>
        <w:rPr>
          <w:i w:val="0"/>
        </w:rPr>
        <w:t>If a provision becomes legally unenforceable, impossible to implement, or invalid in a particular jurisdiction, the remaining provisions should continue to the greatest extent reasonably possible. Mielogos shall comply with applicable law while preserving constitutional purpose as far as reasonably possible.</w:t>
      </w:r>
    </w:p>
    <w:p>
      <w:pPr>
        <w:pStyle w:val="Heading2"/>
      </w:pPr>
      <w:r>
        <w:t>Section 5. Technical, Custodial, Governance, and Programme Continuity</w:t>
      </w:r>
    </w:p>
    <w:p>
      <w:r>
        <w:rPr>
          <w:i w:val="0"/>
        </w:rPr>
        <w:t>Loss or transfer of a domain, website, repository, hosting provider, email service, account, database, asset custodian, mark holder, officer, Founder role, Council seat, administrator, programme leader, or specific programme does not by itself create or terminate constitutional identity.</w:t>
      </w:r>
    </w:p>
    <w:p>
      <w:r>
        <w:rPr>
          <w:i w:val="0"/>
        </w:rPr>
        <w:t>Changes carried out through valid constitutional processes are continuity rather than institutional replacement.</w:t>
      </w:r>
    </w:p>
    <w:p>
      <w:pPr>
        <w:pStyle w:val="Heading2"/>
      </w:pPr>
      <w:r>
        <w:t>Section 6. Conceptual Development</w:t>
      </w:r>
    </w:p>
    <w:p>
      <w:r>
        <w:rPr>
          <w:i w:val="0"/>
        </w:rPr>
        <w:t>Mielogos may refine its understanding of Symbiotic Authorship as research and practice develop. A material change to the constitutional definition or foundational scope must be adopted through appropriate constitutional process rather than introduced silently through explanatory material.</w:t>
      </w:r>
    </w:p>
    <w:p>
      <w:pPr/>
      <w:r>
        <w:t>Mielogos may publish non-constitutional Interpretation Notes, boundary-case records, or similar guidance to explain how the existing definition is applied in practice. Such guidance may preserve uncertainty and competing interpretations, but it may clarify rather than amend the constitutional definition. Where interpretation would materially change a constitutive element or the foundational scope of Symbiotic Authorship, the matter must proceed through the applicable constitutional amendment process.</w:t>
      </w:r>
    </w:p>
    <w:p>
      <w:pPr>
        <w:pStyle w:val="Heading2"/>
      </w:pPr>
      <w:r>
        <w:t>Section 7. Canonical Language</w:t>
      </w:r>
    </w:p>
    <w:p>
      <w:r>
        <w:t>English is the canonical language of Constitution v0.2 unless another version is expressly adopted as co-authoritative or a later constitutional decision provides otherwise.</w:t>
      </w:r>
    </w:p>
    <w:p>
      <w:r>
        <w:rPr>
          <w:i w:val="0"/>
        </w:rPr>
        <w:t>Translations should seek semantic fidelity rather than literal replication where literal wording would distort institutional meaning.</w:t>
      </w:r>
    </w:p>
    <w:p>
      <w:pPr>
        <w:pStyle w:val="Heading2"/>
      </w:pPr>
      <w:r>
        <w:t>Section 8. Institutional Memory and No Authority by Mere Possession</w:t>
      </w:r>
    </w:p>
    <w:p>
      <w:r>
        <w:rPr>
          <w:i w:val="0"/>
        </w:rPr>
        <w:t>Continuity requires neither permanent personnel nor frozen rules. It requires a traceable relation between institutional states.</w:t>
      </w:r>
    </w:p>
    <w:p>
      <w:r>
        <w:rPr>
          <w:i w:val="0"/>
        </w:rPr>
        <w:t>No person becomes the constitutional authority of Mielogos merely because they possess the latest file, a password, repository, private key, domain, bank account, trademark registration, corporate title, or physical archives.</w:t>
      </w:r>
    </w:p>
    <w:p>
      <w:pPr>
        <w:pStyle w:val="Heading2"/>
      </w:pPr>
      <w:r>
        <w:t>Section 9. Emergency Preservation</w:t>
      </w:r>
    </w:p>
    <w:p>
      <w:r>
        <w:rPr>
          <w:i w:val="0"/>
        </w:rPr>
        <w:t>Where immediate action is reasonably necessary to preserve essential records, infrastructure, assets, or institutional continuity from imminent loss, an authorized person may take proportionate protective action.</w:t>
      </w:r>
    </w:p>
    <w:p>
      <w:r>
        <w:rPr>
          <w:i w:val="0"/>
        </w:rPr>
        <w:t>Emergency preservation shall not be used as a pretext to acquire permanent constitutional authority. Material emergency actions should be documented afterward.</w:t>
      </w:r>
    </w:p>
    <w:p>
      <w:pPr>
        <w:pStyle w:val="Heading2"/>
      </w:pPr>
      <w:r>
        <w:t>Section 10. Adoption and Initial Constitutional Record</w:t>
      </w:r>
    </w:p>
    <w:p>
      <w:r>
        <w:rPr>
          <w:i w:val="0"/>
        </w:rPr>
        <w:t>This Constitution becomes operative only upon formal adoption through the constitutional authority applicable at the time. A working draft, circulated proposal, website preview, or internal master has no constitutional force merely because it exists.</w:t>
      </w:r>
    </w:p>
    <w:p>
      <w:r>
        <w:rPr>
          <w:i w:val="0"/>
        </w:rPr>
        <w:t>The first Constitution may be adopted by the Founder as the initial constitutional authority of the Genesis Stage. The adoption record should identify the document, version, adoption date, effective date, adopting authority, status, and any foundational instruments adopted with it.</w:t>
      </w:r>
    </w:p>
    <w:p>
      <w:pPr>
        <w:pStyle w:val="Heading2"/>
      </w:pPr>
      <w:r>
        <w:t>Section 11. Closing Principle</w:t>
      </w:r>
    </w:p>
    <w:p>
      <w:pPr>
        <w:pStyle w:val="ConstitutionQuote"/>
      </w:pPr>
      <w:r>
        <w:t>One institution may pass through many people, documents, technologies, legal forms, and stages of governance without becoming a different institution merely because its instruments change. What preserves Mielogos is the traceable continuity of institutional authority, purpose, record, and constitutional succession.</w:t>
      </w:r>
    </w:p>
    <w:p>
      <w:pPr>
        <w:pageBreakBefore/>
        <w:spacing w:before="1800"/>
        <w:jc w:val="center"/>
      </w:pPr>
      <w:r>
        <w:rPr>
          <w:rFonts w:ascii="Noto Sans" w:hAnsi="Noto Sans"/>
        </w:rPr>
        <w:t>END OF CONSTITUTIONAL TEXT</w:t>
      </w:r>
    </w:p>
    <w:p>
      <w:pPr>
        <w:jc w:val="center"/>
      </w:pPr>
      <w:r>
        <w:t>MIELOGOS Constitution and Bylaws v0.2 — ACTIVE</w:t>
      </w:r>
    </w:p>
    <w:p>
      <w:pPr>
        <w:jc w:val="center"/>
      </w:pPr>
      <w:r>
        <w:t>Original Constitution adopted 2 October 2026 under MIELOGOS-AR-001. Current v0.2 effective 2 October 2026 under MIELOGOS-CA-001.</w:t>
      </w:r>
    </w:p>
    <w:sectPr w:rsidR="00FC693F" w:rsidRPr="0006063C" w:rsidSect="00034616">
      <w:headerReference w:type="default" r:id="rId9"/>
      <w:footerReference w:type="default" r:id="rId10"/>
      <w:pgSz w:w="12240" w:h="15840"/>
      <w:pgMar w:top="1037" w:right="1123" w:bottom="1037" w:left="1123" w:header="432" w:footer="49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5A5A5A"/>
        <w:sz w:val="16"/>
      </w:rPr>
      <w:t xml:space="preserve">ACTIVE  ·  v0.2 / CA-001  ·  2 October 2026  ·  Page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color w:val="5A5A5A"/>
        <w:sz w:val="16"/>
      </w:rPr>
      <w:t>MIELOGOS  ·  CONSTITUTION AND BYLAWS  ·  v0.2</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Noto Sans" w:hAnsi="Noto Sans"/>
      <w:color w:val="20202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Noto Sans" w:hAnsi="Noto Sans"/>
      <w:b/>
      <w:bCs/>
      <w:color w:val="191919"/>
      <w:sz w:val="32"/>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Noto Sans" w:hAnsi="Noto Sans"/>
      <w:b/>
      <w:bCs/>
      <w:color w:val="282828"/>
      <w:sz w:val="23"/>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Noto Sans" w:hAnsi="Noto Sans"/>
      <w:b/>
      <w:bCs/>
      <w:color w:val="3C3C3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50"/>
      <w:contextualSpacing/>
    </w:pPr>
    <w:rPr>
      <w:rFonts w:ascii="Noto Sans" w:hAnsi="Noto Sans"/>
      <w:sz w:val="19"/>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nstitutionQuote">
    <w:name w:val="Constitution Quote"/>
    <w:pPr>
      <w:spacing w:before="120" w:after="160"/>
      <w:ind w:left="504" w:right="360"/>
    </w:pPr>
    <w:rPr>
      <w:rFonts w:ascii="Noto Sans" w:hAnsi="Noto Sans"/>
      <w:b/>
      <w:color w:val="232323"/>
      <w:sz w:val="21"/>
    </w:rPr>
  </w:style>
  <w:style w:type="paragraph" w:customStyle="1" w:styleId="SmallNote">
    <w:name w:val="Small Note"/>
    <w:pPr>
      <w:spacing w:after="80"/>
    </w:pPr>
    <w:rPr>
      <w:rFonts w:ascii="Noto Sans" w:hAnsi="Noto Sans"/>
      <w:color w:val="5A5A5A"/>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MIELOGOS Constitution and Bylaws v0.1 — ACTIVE</dc:title>
  <dc:subject>Initial active Constitution of MIELOGOS — International Association for Symbiotic Authorship</dc:subject>
  <dc:creator>python-docx</dc:creator>
  <cp:keywords>MIELOGOS, Constitution, Symbiotic Authorship, v0.1, ACTIVE, MIELOGOS-AR-001</cp:keywords>
  <dc:description>Formally adopted 2 October 2026 under MIELOGOS-AR-001.</dc:description>
  <cp:lastModifiedBy/>
  <cp:revision>1</cp:revision>
  <dcterms:created xsi:type="dcterms:W3CDTF">2013-12-23T23:15:00Z</dcterms:created>
  <dcterms:modified xsi:type="dcterms:W3CDTF">2013-12-23T23:15:00Z</dcterms:modified>
  <cp:category/>
</cp:coreProperties>
</file>